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ind w:firstLine="482"/>
        <w:jc w:val="center"/>
        <w:rPr>
          <w:rFonts w:hAnsi="DFKai-SB" w:cs="黑体"/>
          <w:b/>
          <w:spacing w:val="-20"/>
          <w:sz w:val="36"/>
          <w:szCs w:val="28"/>
        </w:rPr>
      </w:pPr>
      <w:r>
        <w:rPr>
          <w:rFonts w:hint="eastAsia" w:hAnsi="DFKai-SB" w:cs="黑体"/>
          <w:b/>
          <w:spacing w:val="-20"/>
          <w:sz w:val="36"/>
          <w:szCs w:val="28"/>
        </w:rPr>
        <w:t>黑龙江职业学院</w:t>
      </w:r>
      <w:r>
        <w:rPr>
          <w:rFonts w:hint="eastAsia" w:hAnsi="DFKai-SB" w:cs="黑体"/>
          <w:b/>
          <w:spacing w:val="-20"/>
          <w:sz w:val="36"/>
          <w:szCs w:val="28"/>
          <w:u w:val="single"/>
        </w:rPr>
        <w:t xml:space="preserve">  电气工程  </w:t>
      </w:r>
      <w:r>
        <w:rPr>
          <w:rFonts w:hint="eastAsia" w:hAnsi="DFKai-SB" w:cs="黑体"/>
          <w:b/>
          <w:spacing w:val="-20"/>
          <w:sz w:val="36"/>
          <w:szCs w:val="28"/>
        </w:rPr>
        <w:t>分院专业课程大纲</w:t>
      </w:r>
    </w:p>
    <w:p>
      <w:pPr>
        <w:spacing w:beforeLines="50" w:afterLines="50"/>
        <w:jc w:val="center"/>
        <w:rPr>
          <w:rFonts w:cs="黑体"/>
        </w:rPr>
      </w:pPr>
      <w:r>
        <w:rPr>
          <w:rFonts w:hint="eastAsia" w:hAnsi="DFKai-SB" w:cs="黑体"/>
          <w:spacing w:val="-20"/>
          <w:szCs w:val="28"/>
          <w:u w:val="single"/>
        </w:rPr>
        <w:t xml:space="preserve"> </w:t>
      </w:r>
      <w:r>
        <w:rPr>
          <w:rFonts w:hAnsi="DFKai-SB" w:cs="黑体"/>
          <w:spacing w:val="-20"/>
          <w:szCs w:val="28"/>
          <w:u w:val="single"/>
        </w:rPr>
        <w:t>201</w:t>
      </w:r>
      <w:r>
        <w:rPr>
          <w:rFonts w:hint="eastAsia" w:hAnsi="DFKai-SB" w:cs="黑体"/>
          <w:spacing w:val="-20"/>
          <w:szCs w:val="28"/>
          <w:u w:val="single"/>
        </w:rPr>
        <w:t xml:space="preserve">5—2016            </w:t>
      </w:r>
      <w:r>
        <w:rPr>
          <w:rFonts w:hint="eastAsia" w:hAnsi="DFKai-SB" w:cs="黑体"/>
          <w:spacing w:val="-20"/>
          <w:szCs w:val="28"/>
        </w:rPr>
        <w:t>学年度第</w:t>
      </w:r>
      <w:r>
        <w:rPr>
          <w:rFonts w:hint="eastAsia" w:hAnsi="DFKai-SB" w:cs="黑体"/>
          <w:spacing w:val="-20"/>
          <w:szCs w:val="28"/>
          <w:u w:val="single"/>
        </w:rPr>
        <w:t xml:space="preserve">     二   </w:t>
      </w:r>
      <w:r>
        <w:rPr>
          <w:rFonts w:hint="eastAsia" w:hAnsi="DFKai-SB" w:cs="黑体"/>
          <w:spacing w:val="-20"/>
          <w:szCs w:val="28"/>
        </w:rPr>
        <w:t>学期</w:t>
      </w:r>
      <w:r>
        <w:rPr>
          <w:rFonts w:hint="eastAsia" w:hAnsi="DFKai-SB" w:cs="黑体"/>
          <w:spacing w:val="-20"/>
          <w:szCs w:val="28"/>
          <w:u w:val="single"/>
        </w:rPr>
        <w:t xml:space="preserve">       应用电子技术     </w:t>
      </w:r>
      <w:r>
        <w:rPr>
          <w:rFonts w:hint="eastAsia" w:hAnsi="DFKai-SB" w:cs="黑体"/>
          <w:spacing w:val="-20"/>
          <w:szCs w:val="28"/>
        </w:rPr>
        <w:t>专业（英才班）</w:t>
      </w:r>
    </w:p>
    <w:tbl>
      <w:tblPr>
        <w:tblStyle w:val="9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629"/>
        <w:gridCol w:w="239"/>
        <w:gridCol w:w="112"/>
        <w:gridCol w:w="272"/>
        <w:gridCol w:w="1194"/>
        <w:gridCol w:w="63"/>
        <w:gridCol w:w="1123"/>
        <w:gridCol w:w="1033"/>
        <w:gridCol w:w="72"/>
        <w:gridCol w:w="85"/>
        <w:gridCol w:w="1048"/>
        <w:gridCol w:w="177"/>
        <w:gridCol w:w="319"/>
        <w:gridCol w:w="496"/>
        <w:gridCol w:w="37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课程名称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napToGrid w:val="0"/>
              <w:ind w:firstLine="105" w:firstLineChars="5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 xml:space="preserve"> 电工实训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课程代号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课程类型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素质通识 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专业统整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 xml:space="preserve">专业核心 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>专业选修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授课教师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范敬威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修读方式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 xml:space="preserve">必修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必选     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>选修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学时</w:t>
            </w:r>
            <w:r>
              <w:rPr>
                <w:rFonts w:ascii="PMingLiU" w:hAnsi="PMingLiU" w:cs="黑体"/>
                <w:szCs w:val="21"/>
              </w:rPr>
              <w:t>/</w:t>
            </w:r>
            <w:r>
              <w:rPr>
                <w:rFonts w:hint="eastAsia" w:ascii="PMingLiU" w:hAnsi="PMingLiU" w:cs="黑体"/>
                <w:szCs w:val="21"/>
              </w:rPr>
              <w:t>学分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48</w:t>
            </w:r>
            <w:r>
              <w:rPr>
                <w:rFonts w:ascii="宋体" w:hAnsi="宋体" w:cs="黑体"/>
                <w:szCs w:val="21"/>
              </w:rPr>
              <w:t>/</w:t>
            </w: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是否配备</w:t>
            </w:r>
          </w:p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教学助理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是   </w:t>
            </w:r>
            <w:r>
              <w:rPr>
                <w:rFonts w:ascii="PMingLiU" w:hAnsi="PMingLiU" w:cs="黑体"/>
                <w:szCs w:val="21"/>
              </w:rPr>
              <w:t xml:space="preserve">    </w:t>
            </w:r>
            <w:r>
              <w:rPr>
                <w:rFonts w:hint="eastAsia"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>否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实践学时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上课地点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 xml:space="preserve">校内 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>校外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周学时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教学场所</w:t>
            </w:r>
          </w:p>
        </w:tc>
        <w:tc>
          <w:tcPr>
            <w:tcW w:w="7245" w:type="dxa"/>
            <w:gridSpan w:val="14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教室  </w:t>
            </w: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 xml:space="preserve">实训（验）室 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一体化教室 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生产性实训基地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>其它</w:t>
            </w:r>
            <w:r>
              <w:rPr>
                <w:rFonts w:ascii="PMingLiU" w:hAnsi="PMingLiU" w:cs="黑体"/>
                <w:szCs w:val="21"/>
              </w:rPr>
              <w:t>(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25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办公地点</w:t>
            </w:r>
          </w:p>
        </w:tc>
        <w:tc>
          <w:tcPr>
            <w:tcW w:w="38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cs="黑体"/>
                <w:szCs w:val="21"/>
              </w:rPr>
              <w:t>实训楼电气学院教师办公室214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联系方式</w:t>
            </w:r>
          </w:p>
        </w:tc>
        <w:tc>
          <w:tcPr>
            <w:tcW w:w="22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13674672834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</w:trPr>
        <w:tc>
          <w:tcPr>
            <w:tcW w:w="25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课外答疑时间</w:t>
            </w:r>
          </w:p>
        </w:tc>
        <w:tc>
          <w:tcPr>
            <w:tcW w:w="38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cs="黑体"/>
                <w:szCs w:val="21"/>
              </w:rPr>
              <w:t>周三、周五</w:t>
            </w:r>
            <w:r>
              <w:rPr>
                <w:rFonts w:hint="eastAsia" w:ascii="PMingLiU" w:hAnsi="PMingLiU" w:cs="黑体"/>
                <w:szCs w:val="21"/>
              </w:rPr>
              <w:t>15:00——16:00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学程</w:t>
            </w:r>
            <w:r>
              <w:rPr>
                <w:rFonts w:ascii="PMingLiU" w:hAnsi="PMingLiU" w:cs="黑体"/>
                <w:szCs w:val="21"/>
              </w:rPr>
              <w:t>课程</w:t>
            </w:r>
          </w:p>
        </w:tc>
        <w:tc>
          <w:tcPr>
            <w:tcW w:w="22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sym w:font="Wingdings 2" w:char="F0A3"/>
            </w:r>
            <w:r>
              <w:rPr>
                <w:rFonts w:hint="eastAsia" w:ascii="PMingLiU" w:hAnsi="PMingLiU" w:cs="黑体"/>
                <w:szCs w:val="21"/>
              </w:rPr>
              <w:t xml:space="preserve">是   </w:t>
            </w:r>
            <w:r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hint="eastAsia" w:ascii="PMingLiU" w:hAnsi="Wingdings 2" w:eastAsia="PMingLiU" w:cs="黑体"/>
                <w:color w:val="FF0000"/>
                <w:szCs w:val="20"/>
              </w:rPr>
              <w:sym w:font="Wingdings 2" w:char="F052"/>
            </w:r>
            <w:r>
              <w:rPr>
                <w:rFonts w:hint="eastAsia" w:ascii="PMingLiU" w:hAnsi="PMingLiU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A</w:t>
            </w:r>
            <w:r>
              <w:rPr>
                <w:rFonts w:hint="eastAsia" w:ascii="PMingLiU" w:hAnsi="PMingLiU" w:cs="黑体"/>
                <w:szCs w:val="21"/>
              </w:rPr>
              <w:t>课程描述</w:t>
            </w:r>
          </w:p>
        </w:tc>
        <w:tc>
          <w:tcPr>
            <w:tcW w:w="8113" w:type="dxa"/>
            <w:gridSpan w:val="16"/>
            <w:tcBorders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本课程旨在引领学生了解安全用电，善用电工仪表及工具，实现电工的基本作业，养成规范的电工作业习惯</w:t>
            </w:r>
            <w:r>
              <w:rPr>
                <w:rFonts w:hint="eastAsia" w:ascii="宋体" w:hAnsi="宋体" w:cs="宋体"/>
                <w:b/>
                <w:szCs w:val="21"/>
              </w:rPr>
              <w:t>(目标)</w:t>
            </w:r>
            <w:r>
              <w:rPr>
                <w:rFonts w:hint="eastAsia" w:ascii="PMingLiU" w:hAnsi="PMingLiU"/>
                <w:szCs w:val="21"/>
              </w:rPr>
              <w:t>。经由基本电气参量的测量形成电工仪表的识别与选用，善用电工工具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完成</w:t>
            </w:r>
            <w:r>
              <w:rPr>
                <w:rFonts w:hint="eastAsia" w:ascii="PMingLiU" w:hAnsi="PMingLiU"/>
                <w:szCs w:val="21"/>
              </w:rPr>
              <w:t>导线和</w:t>
            </w:r>
            <w:r>
              <w:rPr>
                <w:rFonts w:hint="eastAsia" w:ascii="宋体" w:hAnsi="宋体"/>
                <w:szCs w:val="21"/>
              </w:rPr>
              <w:t>电气设备的工艺连接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(历程)</w:t>
            </w:r>
            <w:r>
              <w:rPr>
                <w:rFonts w:hint="eastAsia" w:ascii="PMingLiU" w:hAnsi="PMingLiU"/>
                <w:szCs w:val="21"/>
              </w:rPr>
              <w:t>，以完整实现电工基本作业的历程</w:t>
            </w:r>
            <w:r>
              <w:rPr>
                <w:rFonts w:hint="eastAsia" w:ascii="宋体" w:hAnsi="宋体" w:cs="宋体"/>
                <w:b/>
                <w:szCs w:val="21"/>
              </w:rPr>
              <w:t>(预期成果)</w:t>
            </w:r>
            <w:r>
              <w:rPr>
                <w:rFonts w:hint="eastAsia" w:ascii="PMingLiU" w:hAnsi="PMingLiU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B</w:t>
            </w:r>
            <w:r>
              <w:rPr>
                <w:rFonts w:hint="eastAsia" w:ascii="PMingLiU" w:hAnsi="PMingLiU" w:cs="黑体"/>
                <w:szCs w:val="21"/>
              </w:rPr>
              <w:t>教学目标</w:t>
            </w:r>
          </w:p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(</w:t>
            </w:r>
            <w:r>
              <w:rPr>
                <w:rFonts w:hint="eastAsia" w:ascii="PMingLiU" w:hAnsi="PMingLiU" w:cs="黑体"/>
                <w:szCs w:val="21"/>
              </w:rPr>
              <w:t>标注</w:t>
            </w:r>
          </w:p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 xml:space="preserve"> 能力指标</w:t>
            </w:r>
            <w:r>
              <w:rPr>
                <w:rFonts w:ascii="PMingLiU" w:hAnsi="PMingLiU" w:cs="黑体"/>
                <w:szCs w:val="21"/>
              </w:rPr>
              <w:t>)</w:t>
            </w:r>
          </w:p>
        </w:tc>
        <w:tc>
          <w:tcPr>
            <w:tcW w:w="8113" w:type="dxa"/>
            <w:gridSpan w:val="16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1.能安全用电。              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(EDd2)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2.能正确选择和使用电工仪表。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(EDd1)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3.能正确选择和使用</w:t>
            </w:r>
            <w:r>
              <w:rPr>
                <w:rFonts w:hint="eastAsia" w:ascii="PMingLiU" w:hAnsi="PMingLiU"/>
                <w:szCs w:val="21"/>
              </w:rPr>
              <w:t>电工工具</w:t>
            </w:r>
            <w:r>
              <w:rPr>
                <w:rFonts w:hint="eastAsia" w:ascii="宋体" w:hAnsi="宋体"/>
                <w:szCs w:val="21"/>
              </w:rPr>
              <w:t xml:space="preserve">。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(EDd1)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4.能善</w:t>
            </w:r>
            <w:r>
              <w:rPr>
                <w:rFonts w:hint="eastAsia" w:ascii="PMingLiU" w:hAnsi="PMingLiU"/>
                <w:szCs w:val="21"/>
              </w:rPr>
              <w:t>电工工具，实现导线</w:t>
            </w:r>
            <w:r>
              <w:rPr>
                <w:rFonts w:hint="eastAsia" w:ascii="宋体" w:hAnsi="宋体"/>
                <w:szCs w:val="21"/>
              </w:rPr>
              <w:t xml:space="preserve">的连接。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(EDd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)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5.能善电工仪表和工具，实现电气设备的工艺连接。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(EDd2)</w:t>
            </w:r>
          </w:p>
          <w:p>
            <w:pPr>
              <w:widowControl/>
              <w:spacing w:line="360" w:lineRule="exact"/>
              <w:rPr>
                <w:rFonts w:ascii="宋体" w:hAnsi="宋体" w:cs="黑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6.能养成规范的电工作业习惯。   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(FDd1)</w:t>
            </w:r>
            <w:r>
              <w:rPr>
                <w:rFonts w:hint="eastAsia" w:ascii="宋体" w:hAnsi="宋体" w:cs="黑体"/>
                <w:szCs w:val="21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C</w:t>
            </w:r>
            <w:r>
              <w:rPr>
                <w:rFonts w:hint="eastAsia" w:ascii="PMingLiU" w:hAnsi="PMingLiU" w:cs="黑体"/>
                <w:szCs w:val="21"/>
              </w:rPr>
              <w:t>核心能力</w:t>
            </w:r>
          </w:p>
        </w:tc>
        <w:tc>
          <w:tcPr>
            <w:tcW w:w="1252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cs="黑体"/>
                <w:szCs w:val="21"/>
              </w:rPr>
              <w:t>沟通整合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(A)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学习创新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(B)</w:t>
            </w:r>
          </w:p>
        </w:tc>
        <w:tc>
          <w:tcPr>
            <w:tcW w:w="118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cs="黑体"/>
                <w:szCs w:val="21"/>
              </w:rPr>
              <w:t>责任关怀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(C)</w:t>
            </w:r>
          </w:p>
        </w:tc>
        <w:tc>
          <w:tcPr>
            <w:tcW w:w="1190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cs="黑体"/>
                <w:szCs w:val="21"/>
              </w:rPr>
              <w:t>问题解决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(D)</w:t>
            </w: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cs="黑体"/>
                <w:szCs w:val="21"/>
              </w:rPr>
              <w:t>专业技能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(E)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职业素养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 w:cs="黑体"/>
                <w:kern w:val="0"/>
                <w:szCs w:val="21"/>
              </w:rPr>
              <w:t>(F)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ascii="PMingLiU" w:hAnsi="PMingLiU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D</w:t>
            </w:r>
            <w:r>
              <w:rPr>
                <w:rFonts w:hint="eastAsia" w:ascii="PMingLiU" w:hAnsi="PMingLiU" w:cs="黑体"/>
                <w:szCs w:val="21"/>
              </w:rPr>
              <w:t>课程权重</w:t>
            </w:r>
          </w:p>
        </w:tc>
        <w:tc>
          <w:tcPr>
            <w:tcW w:w="1252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eastAsia="PMingLiU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0%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eastAsia="PMingLiU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118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1190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eastAsia="PMingLiU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eastAsia="PMingLiU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  <w:r>
              <w:rPr>
                <w:rFonts w:ascii="宋体" w:hAnsi="宋体"/>
                <w:kern w:val="0"/>
                <w:szCs w:val="21"/>
              </w:rPr>
              <w:t>5%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eastAsia="PMingLiU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15%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合计</w:t>
            </w:r>
            <w:r>
              <w:rPr>
                <w:rFonts w:ascii="宋体" w:hAnsi="宋体" w:cs="黑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E</w:t>
            </w:r>
            <w:r>
              <w:rPr>
                <w:rFonts w:hint="eastAsia" w:ascii="PMingLiU" w:hAnsi="PMingLiU" w:cs="黑体"/>
                <w:szCs w:val="21"/>
              </w:rPr>
              <w:t>教材内容</w:t>
            </w:r>
          </w:p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大纲</w:t>
            </w: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1.电对人体的伤害、触电的原因、形式及其预防、触电的急救。    </w:t>
            </w:r>
            <w:r>
              <w:rPr>
                <w:rFonts w:hint="eastAsia" w:ascii="宋体" w:hAnsi="宋体" w:cs="宋体"/>
                <w:b/>
                <w:szCs w:val="21"/>
              </w:rPr>
              <w:t>(M1-EDd2)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2.安全电压与安全技术规程。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(M1-EDd</w:t>
            </w:r>
            <w:r>
              <w:rPr>
                <w:rFonts w:hint="eastAsia" w:ascii="宋体" w:hAnsi="宋体" w:cs="宋体"/>
                <w:b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3.电工仪表的选择和使用    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(M2-EDd1)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4.电工工具的选择和使用    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(M3-EDd1)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5.导线的连接。            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(M4-EDd2)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6.电气线路的敷设工艺。    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(M5-EDd2)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7.电气设备的工艺连接。     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(M5-EDd2；DDd2)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4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</w:p>
        </w:tc>
        <w:tc>
          <w:tcPr>
            <w:tcW w:w="8113" w:type="dxa"/>
            <w:gridSpan w:val="16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8.电工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人员的基本操守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 xml:space="preserve">。                                 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(M6-FDd1；CDd1)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>F教学方式</w:t>
            </w:r>
          </w:p>
        </w:tc>
        <w:tc>
          <w:tcPr>
            <w:tcW w:w="811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rPr>
                <w:rFonts w:ascii="PMingLiU" w:hAnsi="PMingLiU"/>
                <w:szCs w:val="24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讲授 </w:t>
            </w:r>
            <w:r>
              <w:rPr>
                <w:rFonts w:ascii="PMingLiU" w:hAnsi="PMingLiU"/>
                <w:szCs w:val="24"/>
              </w:rPr>
              <w:t xml:space="preserve">  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讨论或座谈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问题导向学习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分组合作学习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专题学习 </w:t>
            </w:r>
          </w:p>
          <w:p>
            <w:pPr>
              <w:tabs>
                <w:tab w:val="left" w:pos="720"/>
              </w:tabs>
              <w:snapToGrid w:val="0"/>
              <w:rPr>
                <w:rFonts w:ascii="PMingLiU" w:hAnsi="PMingLiU" w:cs="黑体"/>
                <w:kern w:val="0"/>
                <w:szCs w:val="21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实作学习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发表学习 </w:t>
            </w:r>
            <w:r>
              <w:rPr>
                <w:rFonts w:ascii="PMingLiU" w:hAnsi="PMingLiU"/>
                <w:szCs w:val="24"/>
              </w:rPr>
              <w:t xml:space="preserve">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实习 </w:t>
            </w:r>
            <w:r>
              <w:rPr>
                <w:rFonts w:ascii="PMingLiU" w:hAnsi="PMingLiU"/>
                <w:szCs w:val="24"/>
              </w:rPr>
              <w:t xml:space="preserve">      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参观访问 </w:t>
            </w:r>
            <w:r>
              <w:rPr>
                <w:rFonts w:ascii="PMingLiU" w:hAnsi="PMingLiU"/>
                <w:szCs w:val="24"/>
              </w:rPr>
              <w:t xml:space="preserve">    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>其它</w:t>
            </w:r>
            <w:r>
              <w:rPr>
                <w:rFonts w:ascii="PMingLiU" w:hAnsi="PMingLiU"/>
                <w:szCs w:val="24"/>
              </w:rPr>
              <w:t xml:space="preserve">( </w:t>
            </w:r>
            <w:r>
              <w:rPr>
                <w:rFonts w:hint="eastAsia" w:ascii="PMingLiU" w:hAnsi="PMingLiU"/>
                <w:szCs w:val="24"/>
              </w:rPr>
              <w:t>模拟</w:t>
            </w:r>
            <w:r>
              <w:rPr>
                <w:rFonts w:ascii="PMingLiU" w:hAnsi="PMingLiU"/>
                <w:szCs w:val="24"/>
              </w:rPr>
              <w:t>演练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vMerge w:val="restart"/>
            <w:vAlign w:val="center"/>
          </w:tcPr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G</w:t>
            </w:r>
            <w:r>
              <w:rPr>
                <w:rFonts w:hint="eastAsia" w:ascii="PMingLiU" w:hAnsi="PMingLiU" w:cs="黑体"/>
                <w:szCs w:val="21"/>
              </w:rPr>
              <w:t>学习评价</w:t>
            </w:r>
          </w:p>
        </w:tc>
        <w:tc>
          <w:tcPr>
            <w:tcW w:w="629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成绩项目</w:t>
            </w:r>
          </w:p>
        </w:tc>
        <w:tc>
          <w:tcPr>
            <w:tcW w:w="351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配分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评价方式</w:t>
            </w:r>
          </w:p>
          <w:p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/>
                <w:szCs w:val="21"/>
              </w:rPr>
              <w:t>(</w:t>
            </w:r>
            <w:r>
              <w:rPr>
                <w:rFonts w:hint="eastAsia" w:cs="黑体"/>
                <w:szCs w:val="21"/>
              </w:rPr>
              <w:t>呼应能力指标</w:t>
            </w:r>
            <w:r>
              <w:rPr>
                <w:rFonts w:cs="黑体"/>
                <w:szCs w:val="21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细项配分</w:t>
            </w:r>
          </w:p>
        </w:tc>
        <w:tc>
          <w:tcPr>
            <w:tcW w:w="34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Merge w:val="restart"/>
          </w:tcPr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平时</w:t>
            </w:r>
          </w:p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成绩</w:t>
            </w:r>
          </w:p>
        </w:tc>
        <w:tc>
          <w:tcPr>
            <w:tcW w:w="351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  <w:r>
              <w:rPr>
                <w:rFonts w:hint="eastAsia" w:ascii="PMingLiU" w:hAnsi="PMingLiU" w:cs="黑体"/>
                <w:szCs w:val="21"/>
              </w:rPr>
              <w:t xml:space="preserve"> </w:t>
            </w:r>
            <w:r>
              <w:rPr>
                <w:rFonts w:hint="eastAsia" w:ascii="PMingLiU" w:hAnsi="PMingLiU"/>
                <w:szCs w:val="21"/>
              </w:rPr>
              <w:t>6</w:t>
            </w:r>
            <w:r>
              <w:rPr>
                <w:rFonts w:ascii="PMingLiU" w:hAnsi="PMingLiU"/>
                <w:szCs w:val="21"/>
              </w:rPr>
              <w:t>0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实作评价</w:t>
            </w:r>
            <w:r>
              <w:t>(</w:t>
            </w:r>
            <w:r>
              <w:rPr>
                <w:rFonts w:hint="eastAsia"/>
              </w:rPr>
              <w:t>观察</w:t>
            </w:r>
            <w:r>
              <w:t>)</w:t>
            </w:r>
            <w:r>
              <w:rPr>
                <w:sz w:val="20"/>
              </w:rPr>
              <w:t xml:space="preserve"> (</w:t>
            </w: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  <w:r>
              <w:rPr>
                <w:sz w:val="20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  <w:p>
            <w:pPr>
              <w:snapToGrid w:val="0"/>
              <w:jc w:val="center"/>
            </w:pPr>
          </w:p>
        </w:tc>
        <w:tc>
          <w:tcPr>
            <w:tcW w:w="3448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ind w:left="168" w:hanging="168" w:hangingChars="80"/>
            </w:pPr>
            <w:r>
              <w:t>1.</w:t>
            </w:r>
            <w:r>
              <w:rPr>
                <w:rFonts w:hint="eastAsia"/>
              </w:rPr>
              <w:t>出席率2：缺课每次扣0.5分，迟到、请假、聊天，每次扣</w:t>
            </w:r>
            <w:r>
              <w:t>0.</w:t>
            </w:r>
            <w:r>
              <w:rPr>
                <w:rFonts w:hint="eastAsia"/>
              </w:rPr>
              <w:t>2分。</w:t>
            </w:r>
          </w:p>
          <w:p>
            <w:pPr>
              <w:snapToGrid w:val="0"/>
              <w:ind w:left="168" w:hanging="168" w:hangingChars="80"/>
            </w:pPr>
            <w:r>
              <w:t>2.</w:t>
            </w:r>
            <w:r>
              <w:rPr>
                <w:rFonts w:hint="eastAsia"/>
              </w:rPr>
              <w:t>课堂表现6：学习态度端正，课堂任务完成好，实际操作严谨规范，具有</w:t>
            </w:r>
            <w:r>
              <w:rPr>
                <w:rFonts w:hint="eastAsia" w:ascii="PMingLiU" w:hAnsi="PMingLiU"/>
                <w:szCs w:val="21"/>
              </w:rPr>
              <w:t>安全用电意识，</w:t>
            </w:r>
            <w:r>
              <w:rPr>
                <w:rFonts w:hint="eastAsia"/>
              </w:rPr>
              <w:t>课堂上课发言、参与讨论，每次参与讨论各酌予加分</w:t>
            </w:r>
            <w:r>
              <w:t>0.5</w:t>
            </w:r>
            <w:r>
              <w:rPr>
                <w:rFonts w:hint="eastAsia"/>
              </w:rPr>
              <w:t>至</w:t>
            </w:r>
            <w:r>
              <w:t>1</w:t>
            </w:r>
            <w:r>
              <w:rPr>
                <w:rFonts w:hint="eastAsia"/>
              </w:rPr>
              <w:t>分。。</w:t>
            </w:r>
          </w:p>
          <w:p>
            <w:pPr>
              <w:snapToGrid w:val="0"/>
              <w:ind w:left="168" w:hanging="168" w:hangingChars="80"/>
            </w:pPr>
            <w:r>
              <w:t>3.</w:t>
            </w:r>
            <w:r>
              <w:rPr>
                <w:rFonts w:hint="eastAsia"/>
              </w:rPr>
              <w:t>课后作业2：不交作业每次扣0.5分，未按时交作业、作业完成不认真，每次扣</w:t>
            </w:r>
            <w:r>
              <w:t>0.</w:t>
            </w:r>
            <w:r>
              <w:rPr>
                <w:rFonts w:hint="eastAsia"/>
              </w:rPr>
              <w:t>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48" w:type="dxa"/>
            <w:vMerge w:val="continue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Merge w:val="continue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351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1529" w:type="dxa"/>
            <w:gridSpan w:val="3"/>
          </w:tcPr>
          <w:p>
            <w:pPr>
              <w:snapToGrid w:val="0"/>
            </w:pPr>
            <w:r>
              <w:rPr>
                <w:rFonts w:hint="eastAsia"/>
              </w:rPr>
              <w:t>实作评价</w:t>
            </w:r>
            <w:r>
              <w:t>(</w:t>
            </w:r>
            <w:r>
              <w:rPr>
                <w:rFonts w:hint="eastAsia"/>
              </w:rPr>
              <w:t>实作</w:t>
            </w:r>
            <w:r>
              <w:t>)</w:t>
            </w:r>
          </w:p>
          <w:p>
            <w:pPr>
              <w:snapToGrid w:val="0"/>
              <w:spacing w:line="300" w:lineRule="exact"/>
              <w:rPr>
                <w:rFonts w:cs="黑体"/>
              </w:rPr>
            </w:pPr>
            <w:r>
              <w:rPr>
                <w:sz w:val="20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  <w:r>
              <w:rPr>
                <w:sz w:val="20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50</w:t>
            </w:r>
          </w:p>
          <w:p>
            <w:pPr>
              <w:snapToGrid w:val="0"/>
              <w:spacing w:line="300" w:lineRule="exact"/>
              <w:jc w:val="center"/>
              <w:rPr>
                <w:rFonts w:cs="黑体"/>
              </w:rPr>
            </w:pPr>
          </w:p>
        </w:tc>
        <w:tc>
          <w:tcPr>
            <w:tcW w:w="3448" w:type="dxa"/>
            <w:gridSpan w:val="8"/>
          </w:tcPr>
          <w:p>
            <w:pPr>
              <w:snapToGrid w:val="0"/>
              <w:spacing w:line="300" w:lineRule="exact"/>
              <w:ind w:left="168" w:hanging="168" w:hangingChars="80"/>
              <w:rPr>
                <w:rFonts w:cs="黑体"/>
              </w:rPr>
            </w:pPr>
            <w:r>
              <w:rPr>
                <w:rFonts w:hint="eastAsia"/>
              </w:rPr>
              <w:t>评价规准详见“单元教学设计”。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</w:tcPr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期中</w:t>
            </w:r>
          </w:p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1</w:t>
            </w:r>
            <w:r>
              <w:rPr>
                <w:rFonts w:ascii="PMingLiU" w:hAnsi="PMingLiU"/>
                <w:szCs w:val="21"/>
              </w:rPr>
              <w:t>0</w:t>
            </w:r>
          </w:p>
        </w:tc>
        <w:tc>
          <w:tcPr>
            <w:tcW w:w="1529" w:type="dxa"/>
            <w:gridSpan w:val="3"/>
          </w:tcPr>
          <w:p>
            <w:pPr>
              <w:snapToGrid w:val="0"/>
            </w:pPr>
            <w:r>
              <w:rPr>
                <w:rFonts w:hint="eastAsia"/>
              </w:rPr>
              <w:t>口语评价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  <w:r>
              <w:rPr>
                <w:sz w:val="20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  <w:p>
            <w:pPr>
              <w:snapToGrid w:val="0"/>
              <w:jc w:val="center"/>
            </w:pPr>
          </w:p>
        </w:tc>
        <w:tc>
          <w:tcPr>
            <w:tcW w:w="3448" w:type="dxa"/>
            <w:gridSpan w:val="8"/>
          </w:tcPr>
          <w:p>
            <w:pPr>
              <w:snapToGrid w:val="0"/>
            </w:pPr>
            <w:r>
              <w:rPr>
                <w:rFonts w:hint="eastAsia"/>
              </w:rPr>
              <w:t>评价规准见附件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</w:tcPr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期末</w:t>
            </w:r>
          </w:p>
          <w:p>
            <w:pPr>
              <w:snapToGrid w:val="0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3</w:t>
            </w:r>
            <w:r>
              <w:rPr>
                <w:rFonts w:ascii="PMingLiU" w:hAnsi="PMingLiU"/>
                <w:szCs w:val="21"/>
              </w:rPr>
              <w:t>0</w:t>
            </w:r>
          </w:p>
        </w:tc>
        <w:tc>
          <w:tcPr>
            <w:tcW w:w="1529" w:type="dxa"/>
            <w:gridSpan w:val="3"/>
          </w:tcPr>
          <w:p>
            <w:pPr>
              <w:snapToGrid w:val="0"/>
            </w:pPr>
            <w:r>
              <w:rPr>
                <w:rFonts w:hint="eastAsia"/>
              </w:rPr>
              <w:t>实作评价</w:t>
            </w:r>
            <w:r>
              <w:t>(</w:t>
            </w:r>
            <w:r>
              <w:rPr>
                <w:rFonts w:hint="eastAsia"/>
              </w:rPr>
              <w:t>实作</w:t>
            </w:r>
            <w:r>
              <w:t>)</w:t>
            </w:r>
          </w:p>
          <w:p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  <w:r>
              <w:rPr>
                <w:sz w:val="20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  <w:p>
            <w:pPr>
              <w:snapToGrid w:val="0"/>
              <w:jc w:val="center"/>
            </w:pPr>
          </w:p>
        </w:tc>
        <w:tc>
          <w:tcPr>
            <w:tcW w:w="3448" w:type="dxa"/>
            <w:gridSpan w:val="8"/>
          </w:tcPr>
          <w:p>
            <w:pPr>
              <w:snapToGrid w:val="0"/>
            </w:pPr>
            <w:r>
              <w:rPr>
                <w:rFonts w:hint="eastAsia"/>
              </w:rPr>
              <w:t>评价规准见附件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H</w:t>
            </w:r>
            <w:r>
              <w:rPr>
                <w:rFonts w:hint="eastAsia" w:ascii="PMingLiU" w:hAnsi="PMingLiU" w:cs="黑体"/>
                <w:szCs w:val="21"/>
              </w:rPr>
              <w:t>进度表</w:t>
            </w:r>
          </w:p>
        </w:tc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hint="eastAsia" w:cs="黑体"/>
                <w:szCs w:val="21"/>
              </w:rPr>
              <w:t>周别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单元名称与内容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cs="HiddenHorzOCR"/>
                <w:b/>
                <w:szCs w:val="21"/>
              </w:rPr>
            </w:pPr>
            <w:r>
              <w:rPr>
                <w:rFonts w:hint="eastAsia" w:ascii="PMingLiU" w:hAnsi="PMingLiU" w:cs="HiddenHorzOCR"/>
                <w:b/>
                <w:szCs w:val="21"/>
              </w:rPr>
              <w:t>能力指标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ind w:firstLine="17" w:firstLineChars="8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1-1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单元1 安全用电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任务一 </w:t>
            </w:r>
            <w:r>
              <w:rPr>
                <w:rFonts w:hint="eastAsia" w:ascii="宋体" w:hAnsi="宋体"/>
                <w:kern w:val="0"/>
                <w:szCs w:val="21"/>
              </w:rPr>
              <w:t>电对人体的伤害、触电的原因、形式及其预防、触电的急救。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任务二 </w:t>
            </w:r>
            <w:r>
              <w:rPr>
                <w:rFonts w:hint="eastAsia" w:ascii="宋体" w:hAnsi="宋体"/>
                <w:kern w:val="0"/>
                <w:szCs w:val="21"/>
              </w:rPr>
              <w:t>安全电压与安全技术规程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、CDd1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4"/>
              </w:rPr>
              <w:t>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1-2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单元2 常用电工仪表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任务一 电工仪表的选择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任务二 电工仪表的使用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</w:t>
            </w:r>
            <w:r>
              <w:rPr>
                <w:rFonts w:hint="eastAsia" w:ascii="宋体" w:hAnsi="宋体" w:cs="宋体"/>
                <w:b/>
                <w:szCs w:val="21"/>
              </w:rPr>
              <w:t>1、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2、</w:t>
            </w: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1</w:t>
            </w:r>
            <w:r>
              <w:rPr>
                <w:rFonts w:ascii="宋体" w:hAnsi="宋体" w:cs="HiddenHorzOCR"/>
                <w:szCs w:val="21"/>
              </w:rPr>
              <w:t>-</w:t>
            </w:r>
            <w:r>
              <w:rPr>
                <w:rFonts w:hint="eastAsia" w:ascii="宋体" w:hAnsi="宋体" w:cs="HiddenHorzOCR"/>
                <w:szCs w:val="21"/>
              </w:rPr>
              <w:t>3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ind w:left="2835" w:hanging="2835" w:hanging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单元3常用电工工具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任务一 电工工具的选择</w:t>
            </w:r>
          </w:p>
          <w:p>
            <w:pPr>
              <w:ind w:left="2940" w:hanging="2940" w:hangingChars="1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任务二 电工工具的使用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</w:t>
            </w:r>
            <w:r>
              <w:rPr>
                <w:rFonts w:hint="eastAsia" w:ascii="宋体" w:hAnsi="宋体" w:cs="宋体"/>
                <w:b/>
                <w:szCs w:val="21"/>
              </w:rPr>
              <w:t>1、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3、</w:t>
            </w: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1</w:t>
            </w:r>
            <w:r>
              <w:rPr>
                <w:rFonts w:ascii="宋体" w:hAnsi="宋体" w:cs="HiddenHorzOCR"/>
                <w:szCs w:val="21"/>
              </w:rPr>
              <w:t>-</w:t>
            </w:r>
            <w:r>
              <w:rPr>
                <w:rFonts w:hint="eastAsia" w:ascii="宋体" w:hAnsi="宋体" w:cs="HiddenHorzOCR"/>
                <w:szCs w:val="21"/>
              </w:rPr>
              <w:t>4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ind w:left="2730" w:hanging="2730" w:hangingChars="13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单元4 导线的连接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4、</w:t>
            </w: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2</w:t>
            </w:r>
            <w:r>
              <w:rPr>
                <w:rFonts w:ascii="宋体" w:hAnsi="宋体" w:cs="HiddenHorzOCR"/>
                <w:szCs w:val="21"/>
              </w:rPr>
              <w:t>-</w:t>
            </w:r>
            <w:r>
              <w:rPr>
                <w:rFonts w:hint="eastAsia" w:ascii="宋体" w:hAnsi="宋体" w:cs="HiddenHorzOCR"/>
                <w:szCs w:val="21"/>
              </w:rPr>
              <w:t>1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单元5 室内照明线路的安装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5、</w:t>
            </w: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2</w:t>
            </w:r>
            <w:r>
              <w:rPr>
                <w:rFonts w:ascii="宋体" w:hAnsi="宋体" w:cs="HiddenHorzOCR"/>
                <w:szCs w:val="21"/>
              </w:rPr>
              <w:t>-</w:t>
            </w:r>
            <w:r>
              <w:rPr>
                <w:rFonts w:hint="eastAsia" w:ascii="宋体" w:hAnsi="宋体" w:cs="HiddenHorzOCR"/>
                <w:szCs w:val="21"/>
              </w:rPr>
              <w:t>2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单元6 电机控制线路的连接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hint="eastAsia" w:ascii="宋体" w:hAnsi="宋体" w:cs="宋体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 xml:space="preserve"> FDd1</w:t>
            </w:r>
            <w:r>
              <w:rPr>
                <w:rFonts w:hint="eastAsia" w:ascii="宋体" w:hAnsi="宋体" w:cs="宋体"/>
                <w:b/>
                <w:szCs w:val="21"/>
              </w:rPr>
              <w:t>、CDd1、DDd2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5、</w:t>
            </w:r>
            <w:r>
              <w:rPr>
                <w:rFonts w:ascii="宋体" w:hAnsi="宋体" w:cs="宋体"/>
                <w:b/>
                <w:szCs w:val="24"/>
              </w:rPr>
              <w:t>M</w:t>
            </w:r>
            <w:r>
              <w:rPr>
                <w:rFonts w:hint="eastAsia" w:ascii="宋体" w:hAnsi="宋体" w:cs="宋体"/>
                <w:b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 w:cs="黑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2</w:t>
            </w:r>
            <w:r>
              <w:rPr>
                <w:rFonts w:ascii="宋体" w:hAnsi="宋体" w:cs="HiddenHorzOCR"/>
                <w:szCs w:val="21"/>
              </w:rPr>
              <w:t>-</w:t>
            </w:r>
            <w:r>
              <w:rPr>
                <w:rFonts w:hint="eastAsia" w:ascii="宋体" w:hAnsi="宋体" w:cs="HiddenHorzOCR"/>
                <w:szCs w:val="21"/>
              </w:rPr>
              <w:t>3</w:t>
            </w:r>
          </w:p>
        </w:tc>
        <w:tc>
          <w:tcPr>
            <w:tcW w:w="4108" w:type="dxa"/>
            <w:gridSpan w:val="8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考试（过程考核）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PMingLiU" w:hAnsi="PMingLiU" w:cs="HiddenHorzOCR"/>
                <w:szCs w:val="21"/>
                <w:highlight w:val="yellow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48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I</w:t>
            </w:r>
            <w:r>
              <w:rPr>
                <w:rFonts w:hint="eastAsia" w:ascii="PMingLiU" w:hAnsi="PMingLiU" w:cs="HiddenHorzOCR"/>
                <w:szCs w:val="21"/>
              </w:rPr>
              <w:t>指定教材</w:t>
            </w:r>
          </w:p>
        </w:tc>
        <w:tc>
          <w:tcPr>
            <w:tcW w:w="8113" w:type="dxa"/>
            <w:gridSpan w:val="16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FF0000"/>
                <w:lang w:eastAsia="zh-CN"/>
              </w:rPr>
              <w:t>范敬威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(2016).</w:t>
            </w:r>
            <w:r>
              <w:rPr>
                <w:rFonts w:hint="eastAsia" w:ascii="宋体" w:hAnsi="宋体"/>
                <w:color w:val="FF0000"/>
              </w:rPr>
              <w:t>自制活页单</w:t>
            </w:r>
            <w:r>
              <w:rPr>
                <w:rFonts w:hint="eastAsia" w:ascii="宋体" w:hAnsi="宋体"/>
                <w:color w:val="FF0000"/>
                <w:lang w:eastAsia="zh-CN"/>
              </w:rPr>
              <w:t>教材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.黑龙江职业学院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48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J</w:t>
            </w:r>
            <w:r>
              <w:rPr>
                <w:rFonts w:hint="eastAsia" w:ascii="PMingLiU" w:hAnsi="PMingLiU" w:cs="HiddenHorzOCR"/>
                <w:szCs w:val="21"/>
              </w:rPr>
              <w:t>参考书籍</w:t>
            </w:r>
          </w:p>
        </w:tc>
        <w:tc>
          <w:tcPr>
            <w:tcW w:w="8113" w:type="dxa"/>
            <w:gridSpan w:val="16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349" w:hanging="349" w:hangingChars="166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黄冬梅（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0）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电工电子实训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中国轻工出版社。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刘美华（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4）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电工电子实训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高等教育出版社。</w:t>
            </w:r>
          </w:p>
          <w:p>
            <w:pPr>
              <w:autoSpaceDE w:val="0"/>
              <w:autoSpaceDN w:val="0"/>
              <w:snapToGrid w:val="0"/>
              <w:spacing w:line="360" w:lineRule="exact"/>
              <w:ind w:left="349" w:hanging="349" w:hangingChars="166"/>
              <w:rPr>
                <w:rFonts w:ascii="宋体" w:cs="HiddenHorzOCR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李光兰（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3）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电工电子实训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Cs w:val="21"/>
              </w:rPr>
              <w:t>北京师范大学出版社。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48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K</w:t>
            </w:r>
            <w:r>
              <w:rPr>
                <w:rFonts w:hint="eastAsia" w:ascii="PMingLiU" w:hAnsi="PMingLiU" w:cs="HiddenHorzOCR"/>
                <w:szCs w:val="21"/>
              </w:rPr>
              <w:t>先修课程</w:t>
            </w:r>
          </w:p>
        </w:tc>
        <w:tc>
          <w:tcPr>
            <w:tcW w:w="8113" w:type="dxa"/>
            <w:gridSpan w:val="16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先修课程：实用电路分析、电子测量技术。</w:t>
            </w:r>
          </w:p>
          <w:p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具备电路分析和测量的能力。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48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L</w:t>
            </w:r>
            <w:r>
              <w:rPr>
                <w:rFonts w:hint="eastAsia" w:ascii="PMingLiU" w:hAnsi="PMingLiU" w:cs="HiddenHorzOCR"/>
                <w:szCs w:val="21"/>
              </w:rPr>
              <w:t>教学资源</w:t>
            </w:r>
          </w:p>
        </w:tc>
        <w:tc>
          <w:tcPr>
            <w:tcW w:w="8113" w:type="dxa"/>
            <w:gridSpan w:val="16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hint="eastAsia" w:ascii="宋体" w:hAnsi="宋体" w:cs="HiddenHorzOCR"/>
                <w:szCs w:val="21"/>
              </w:rPr>
              <w:t>电工电子实训室、常用电工仪表、常用电工工具。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1648" w:type="dxa"/>
            <w:vAlign w:val="center"/>
          </w:tcPr>
          <w:p>
            <w:pPr>
              <w:snapToGrid w:val="0"/>
              <w:ind w:left="-48" w:leftChars="-23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M</w:t>
            </w:r>
            <w:r>
              <w:rPr>
                <w:rFonts w:hint="eastAsia" w:ascii="PMingLiU" w:hAnsi="PMingLiU" w:cs="HiddenHorzOCR"/>
                <w:szCs w:val="21"/>
              </w:rPr>
              <w:t>注意事项</w:t>
            </w:r>
          </w:p>
        </w:tc>
        <w:tc>
          <w:tcPr>
            <w:tcW w:w="8113" w:type="dxa"/>
            <w:gridSpan w:val="16"/>
            <w:vAlign w:val="center"/>
          </w:tcPr>
          <w:p>
            <w:pPr>
              <w:snapToGrid w:val="0"/>
              <w:spacing w:beforeLines="50"/>
              <w:rPr>
                <w:rFonts w:cs="黑体"/>
              </w:rPr>
            </w:pPr>
            <w:r>
              <w:rPr>
                <w:rFonts w:hint="eastAsia" w:cs="黑体"/>
              </w:rPr>
              <w:t>1．</w:t>
            </w:r>
            <w:r>
              <w:rPr>
                <w:rFonts w:cs="黑体"/>
              </w:rPr>
              <w:t>本课</w:t>
            </w:r>
            <w:r>
              <w:rPr>
                <w:rFonts w:ascii="宋体" w:hAnsi="宋体" w:cs="黑体"/>
              </w:rPr>
              <w:t>程大纲A</w:t>
            </w:r>
            <w:r>
              <w:rPr>
                <w:rFonts w:hint="eastAsia" w:ascii="宋体" w:hAnsi="宋体" w:cs="黑体"/>
              </w:rPr>
              <w:t>—</w:t>
            </w:r>
            <w:r>
              <w:rPr>
                <w:rFonts w:ascii="宋体" w:hAnsi="宋体" w:cs="黑体"/>
              </w:rPr>
              <w:t>E</w:t>
            </w:r>
            <w:r>
              <w:rPr>
                <w:rFonts w:hint="eastAsia" w:cs="黑体"/>
              </w:rPr>
              <w:t>项同一课程不同授课教师应协同讨论研究达成共同核心内涵，</w:t>
            </w:r>
            <w:r>
              <w:rPr>
                <w:rFonts w:cs="黑体"/>
              </w:rPr>
              <w:t>教师</w:t>
            </w:r>
            <w:r>
              <w:rPr>
                <w:rFonts w:hint="eastAsia" w:cs="黑体"/>
              </w:rPr>
              <w:t>不宜</w:t>
            </w:r>
            <w:r>
              <w:rPr>
                <w:rFonts w:cs="黑体"/>
              </w:rPr>
              <w:t>自行更改</w:t>
            </w:r>
            <w:r>
              <w:rPr>
                <w:rFonts w:hint="eastAsia" w:cs="黑体"/>
              </w:rPr>
              <w:t>；</w:t>
            </w:r>
          </w:p>
          <w:p>
            <w:pPr>
              <w:snapToGrid w:val="0"/>
              <w:spacing w:beforeLines="50"/>
              <w:rPr>
                <w:rFonts w:cs="黑体"/>
              </w:rPr>
            </w:pPr>
            <w:r>
              <w:rPr>
                <w:rFonts w:hint="eastAsia" w:cs="黑体"/>
              </w:rPr>
              <w:t>2．</w:t>
            </w:r>
            <w:r>
              <w:rPr>
                <w:rFonts w:cs="黑体"/>
              </w:rPr>
              <w:t>本课程大纲</w:t>
            </w:r>
            <w:r>
              <w:rPr>
                <w:rFonts w:ascii="宋体" w:hAnsi="宋体" w:cs="黑体"/>
              </w:rPr>
              <w:t>F—G</w:t>
            </w:r>
            <w:r>
              <w:rPr>
                <w:rFonts w:cs="黑体"/>
              </w:rPr>
              <w:t>项赋予教师</w:t>
            </w:r>
            <w:r>
              <w:rPr>
                <w:rFonts w:hint="eastAsia" w:cs="黑体"/>
              </w:rPr>
              <w:t>教学</w:t>
            </w:r>
            <w:r>
              <w:rPr>
                <w:rFonts w:cs="黑体"/>
              </w:rPr>
              <w:t>专业自主</w:t>
            </w:r>
            <w:r>
              <w:rPr>
                <w:rFonts w:hint="eastAsia" w:cs="黑体"/>
              </w:rPr>
              <w:t>，教师可</w:t>
            </w:r>
            <w:r>
              <w:rPr>
                <w:rFonts w:cs="黑体"/>
              </w:rPr>
              <w:t>根据教学需要进行调整</w:t>
            </w:r>
            <w:r>
              <w:rPr>
                <w:rFonts w:hint="eastAsia" w:cs="黑体"/>
              </w:rPr>
              <w:t>；</w:t>
            </w:r>
          </w:p>
          <w:p>
            <w:pPr>
              <w:snapToGrid w:val="0"/>
              <w:spacing w:beforeLines="50"/>
            </w:pPr>
            <w:r>
              <w:rPr>
                <w:rFonts w:cs="黑体"/>
              </w:rPr>
              <w:t>3</w:t>
            </w:r>
            <w:r>
              <w:rPr>
                <w:rFonts w:hint="eastAsia" w:cs="黑体"/>
              </w:rPr>
              <w:t>．</w:t>
            </w:r>
            <w:r>
              <w:rPr>
                <w:rFonts w:cs="黑体"/>
              </w:rPr>
              <w:t>请尊重知识产权，不得非法影印</w:t>
            </w:r>
          </w:p>
        </w:tc>
      </w:tr>
    </w:tbl>
    <w:p>
      <w:pPr>
        <w:rPr>
          <w:rFonts w:ascii="PMingLiU" w:hAnsi="PMingLiU" w:cs="HiddenHorzOCR"/>
          <w:szCs w:val="21"/>
        </w:rPr>
      </w:pPr>
    </w:p>
    <w:p>
      <w:pPr>
        <w:widowControl/>
        <w:jc w:val="left"/>
        <w:rPr>
          <w:rFonts w:ascii="PMingLiU" w:hAnsi="PMingLiU" w:cs="HiddenHorzOCR"/>
          <w:szCs w:val="21"/>
        </w:rPr>
      </w:pPr>
      <w:r>
        <w:rPr>
          <w:rFonts w:ascii="PMingLiU" w:hAnsi="PMingLiU" w:cs="HiddenHorzOCR"/>
          <w:szCs w:val="21"/>
        </w:rPr>
        <w:br w:type="page"/>
      </w:r>
    </w:p>
    <w:p>
      <w:pPr>
        <w:pStyle w:val="4"/>
        <w:snapToGrid w:val="0"/>
        <w:spacing w:line="240" w:lineRule="auto"/>
        <w:ind w:left="360" w:hanging="360"/>
        <w:rPr>
          <w:rFonts w:ascii="PMingLiU" w:hAnsi="PMingLiU" w:eastAsia="宋体"/>
          <w:szCs w:val="24"/>
          <w:u w:val="single"/>
          <w:lang w:eastAsia="zh-CN"/>
        </w:rPr>
      </w:pPr>
      <w:r>
        <w:rPr>
          <w:rFonts w:hint="eastAsia" w:ascii="PMingLiU" w:hAnsi="PMingLiU" w:eastAsia="宋体"/>
          <w:szCs w:val="24"/>
          <w:u w:val="single"/>
          <w:lang w:eastAsia="zh-CN"/>
        </w:rPr>
        <w:t>附件</w:t>
      </w:r>
      <w:r>
        <w:rPr>
          <w:rFonts w:ascii="PMingLiU" w:hAnsi="PMingLiU" w:eastAsia="宋体"/>
          <w:szCs w:val="24"/>
          <w:u w:val="single"/>
          <w:lang w:eastAsia="zh-CN"/>
        </w:rPr>
        <w:t>1</w:t>
      </w:r>
    </w:p>
    <w:tbl>
      <w:tblPr>
        <w:tblStyle w:val="9"/>
        <w:tblW w:w="8618" w:type="dxa"/>
        <w:jc w:val="center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1"/>
        <w:gridCol w:w="1437"/>
        <w:gridCol w:w="1437"/>
        <w:gridCol w:w="1146"/>
        <w:gridCol w:w="291"/>
        <w:gridCol w:w="882"/>
        <w:gridCol w:w="55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DFKai-SB" w:eastAsia="DFKai-SB"/>
                <w:sz w:val="36"/>
              </w:rPr>
            </w:pPr>
            <w:r>
              <w:rPr>
                <w:rFonts w:hint="eastAsia"/>
                <w:b/>
                <w:sz w:val="36"/>
              </w:rPr>
              <w:t>「口语」评价表</w:t>
            </w:r>
          </w:p>
          <w:p>
            <w:pPr>
              <w:snapToGrid w:val="0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姓名：</w:t>
            </w:r>
            <w:r>
              <w:rPr>
                <w:rFonts w:ascii="PMingLiU" w:hAnsi="PMingLiU"/>
              </w:rPr>
              <w:t xml:space="preserve">         </w:t>
            </w:r>
            <w:r>
              <w:rPr>
                <w:rFonts w:hint="eastAsia" w:ascii="PMingLiU" w:hAnsi="PMingLiU"/>
              </w:rPr>
              <w:t xml:space="preserve"> </w:t>
            </w:r>
            <w:r>
              <w:rPr>
                <w:rFonts w:ascii="PMingLiU" w:hAnsi="PMingLiU"/>
              </w:rPr>
              <w:t xml:space="preserve"> </w:t>
            </w:r>
            <w:r>
              <w:rPr>
                <w:rFonts w:hint="eastAsia" w:ascii="PMingLiU" w:hAnsi="PMingLiU"/>
              </w:rPr>
              <w:t xml:space="preserve">班级：          </w:t>
            </w:r>
            <w:r>
              <w:rPr>
                <w:rFonts w:ascii="PMingLiU" w:hAnsi="PMingLiU"/>
              </w:rPr>
              <w:t xml:space="preserve">  </w:t>
            </w:r>
            <w:r>
              <w:rPr>
                <w:rFonts w:hint="eastAsia" w:ascii="PMingLiU" w:hAnsi="PMingLiU"/>
              </w:rPr>
              <w:t xml:space="preserve">学号：      </w:t>
            </w:r>
            <w:r>
              <w:t xml:space="preserve">    </w:t>
            </w:r>
            <w:r>
              <w:rPr>
                <w:rFonts w:hint="eastAsia"/>
              </w:rPr>
              <w:t>日期：</w:t>
            </w:r>
            <w: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ascii="DFKai-SB"/>
              </w:rPr>
              <w:t xml:space="preserve">    </w:t>
            </w:r>
            <w:r>
              <w:rPr>
                <w:rFonts w:hint="eastAsia" w:ascii="DFKai-SB"/>
              </w:rPr>
              <w:t>各位同学：为呈现本学期「电工实训」的部分学习历程，对学生掌握的电工技能进行口语评量。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hint="eastAsia" w:ascii="DFKai-SB" w:hAnsi="DFKai-SB"/>
                <w:b/>
                <w:u w:val="single"/>
              </w:rPr>
              <w:t>一、口语测试重点与评价：</w:t>
            </w:r>
            <w:r>
              <w:rPr>
                <w:rFonts w:hint="eastAsia" w:ascii="PMingLiU" w:hAnsi="PMingLiU"/>
              </w:rPr>
              <w:t>请针对下列评价项目并参酌「二、评价规准」，于自评字段打「</w:t>
            </w:r>
            <w:r>
              <w:rPr>
                <w:rFonts w:ascii="PMingLiU" w:hAnsi="PMingLiU"/>
              </w:rPr>
              <w:t>A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B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C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D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E</w:t>
            </w:r>
            <w:r>
              <w:rPr>
                <w:rFonts w:hint="eastAsia" w:ascii="PMingLiU" w:hAnsi="PMingLiU"/>
              </w:rPr>
              <w:t>」其中一项后，再请老师于合计栏复评。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评价项目</w:t>
            </w:r>
          </w:p>
        </w:tc>
        <w:tc>
          <w:tcPr>
            <w:tcW w:w="315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  <w:spacing w:val="-10"/>
              </w:rPr>
            </w:pPr>
            <w:r>
              <w:rPr>
                <w:rFonts w:hint="eastAsia" w:ascii="PMingLiU" w:hAnsi="PMingLiU"/>
                <w:spacing w:val="-10"/>
              </w:rPr>
              <w:t>自评与老师复评</w:t>
            </w:r>
            <w:r>
              <w:rPr>
                <w:rFonts w:ascii="PMingLiU" w:hAnsi="PMingLiU"/>
                <w:spacing w:val="-10"/>
              </w:rPr>
              <w:t>(A</w:t>
            </w:r>
            <w:r>
              <w:rPr>
                <w:rFonts w:hint="eastAsia" w:ascii="PMingLiU" w:hAnsi="PMingLiU"/>
                <w:spacing w:val="-10"/>
              </w:rPr>
              <w:t>至</w:t>
            </w:r>
            <w:r>
              <w:rPr>
                <w:rFonts w:ascii="PMingLiU" w:hAnsi="PMingLiU"/>
                <w:spacing w:val="-10"/>
              </w:rPr>
              <w:t>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自评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1" w:type="dxa"/>
            <w:gridSpan w:val="4"/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1.专业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(6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4" w:type="dxa"/>
            <w:gridSpan w:val="2"/>
            <w:tcBorders>
              <w:tr2bl w:val="single" w:color="auto" w:sz="4" w:space="0"/>
            </w:tcBorders>
            <w:shd w:val="pct10" w:color="auto" w:fill="auto"/>
          </w:tcPr>
          <w:p>
            <w:pPr>
              <w:pStyle w:val="3"/>
              <w:snapToGrid w:val="0"/>
              <w:spacing w:line="260" w:lineRule="exact"/>
              <w:rPr>
                <w:rFonts w:hAnsi="PMingLiU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1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2.言辞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1" w:type="dxa"/>
            <w:gridSpan w:val="4"/>
            <w:tcBorders>
              <w:bottom w:val="nil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3.仪态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1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合计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tcBorders>
              <w:bottom w:val="nil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分享：</w:t>
            </w:r>
          </w:p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tcBorders>
              <w:top w:val="nil"/>
            </w:tcBorders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评价教师：</w:t>
            </w:r>
            <w:r>
              <w:rPr>
                <w:rFonts w:ascii="PMingLiU" w:hAnsi="PMingLiU"/>
              </w:rPr>
              <w:t xml:space="preserve">         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hint="eastAsia" w:hAnsi="DFKai-SB" w:eastAsia="宋体"/>
                <w:b/>
                <w:kern w:val="2"/>
                <w:sz w:val="24"/>
                <w:u w:val="single"/>
              </w:rPr>
              <w:t>二、评价规准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1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hint="eastAsia" w:ascii="PMingLiU" w:hAnsi="PMingLiU" w:eastAsia="宋体"/>
                <w:sz w:val="24"/>
              </w:rPr>
              <w:t>符号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A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B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C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D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1" w:type="dxa"/>
          </w:tcPr>
          <w:p>
            <w:pPr>
              <w:pStyle w:val="4"/>
              <w:snapToGrid w:val="0"/>
              <w:spacing w:line="240" w:lineRule="auto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专业</w:t>
            </w:r>
          </w:p>
          <w:p>
            <w:pPr>
              <w:pStyle w:val="4"/>
              <w:snapToGrid w:val="0"/>
              <w:spacing w:line="240" w:lineRule="auto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(6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专业知能、分析及回应均佳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(6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专业知能、分析或回应之二颇佳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5分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专业知能、分析或回应之一颇佳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4分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专业知能、分析或回应均欠佳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29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ascii="PMingLiU" w:hAnsi="PMingLiU" w:eastAsia="宋体"/>
                <w:lang w:eastAsia="zh-CN"/>
              </w:rPr>
              <w:t>缺席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(0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1" w:type="dxa"/>
          </w:tcPr>
          <w:p>
            <w:pPr>
              <w:pStyle w:val="4"/>
              <w:snapToGrid w:val="0"/>
              <w:spacing w:line="240" w:lineRule="auto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言辞</w:t>
            </w:r>
          </w:p>
          <w:p>
            <w:pPr>
              <w:pStyle w:val="4"/>
              <w:snapToGrid w:val="0"/>
              <w:spacing w:line="240" w:lineRule="auto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声调、语言表达能力均甚佳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声调或语言表达能力均颇佳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(1.5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声调或语言表达能力欠佳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声调、语言表达能力均欠佳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(0.5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29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ascii="PMingLiU" w:hAnsi="PMingLiU" w:eastAsia="宋体"/>
                <w:lang w:eastAsia="zh-CN"/>
              </w:rPr>
              <w:t>缺席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(0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41" w:type="dxa"/>
          </w:tcPr>
          <w:p>
            <w:pPr>
              <w:pStyle w:val="4"/>
              <w:snapToGrid w:val="0"/>
              <w:spacing w:line="240" w:lineRule="auto"/>
              <w:rPr>
                <w:rFonts w:ascii="PMingLiU" w:hAnsi="PMingLiU" w:eastAsia="宋体"/>
                <w:kern w:val="2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仪态</w:t>
            </w:r>
          </w:p>
          <w:p>
            <w:pPr>
              <w:pStyle w:val="4"/>
              <w:snapToGrid w:val="0"/>
              <w:spacing w:line="240" w:lineRule="auto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礼貌、态度或举止均佳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2分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礼貌、态度或举止之二颇佳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(1.5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礼貌、态度或举止之一颇佳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37" w:type="dxa"/>
            <w:gridSpan w:val="2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eastAsia="宋体"/>
                <w:lang w:eastAsia="zh-CN"/>
              </w:rPr>
              <w:t>礼貌、态度或举止均欠佳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(0.5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  <w:tc>
          <w:tcPr>
            <w:tcW w:w="1429" w:type="dxa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PMingLiU" w:hAnsi="PMingLiU" w:eastAsia="PMingLiU"/>
              </w:rPr>
            </w:pPr>
            <w:r>
              <w:rPr>
                <w:rFonts w:hint="eastAsia" w:ascii="PMingLiU" w:hAnsi="PMingLiU" w:eastAsia="宋体"/>
                <w:lang w:eastAsia="zh-CN"/>
              </w:rPr>
              <w:t>缺席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(0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PMingLiU"/>
              </w:rPr>
            </w:pPr>
            <w:r>
              <w:rPr>
                <w:rFonts w:hint="eastAsia" w:ascii="PMingLiU" w:hAnsi="PMingLiU" w:eastAsia="宋体"/>
                <w:lang w:eastAsia="zh-CN"/>
              </w:rPr>
              <w:t>注：各项目之</w:t>
            </w:r>
            <w:r>
              <w:rPr>
                <w:rFonts w:ascii="PMingLiU" w:hAnsi="PMingLiU" w:eastAsia="宋体"/>
                <w:lang w:eastAsia="zh-CN"/>
              </w:rPr>
              <w:t>A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B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C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D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E</w:t>
            </w:r>
            <w:r>
              <w:rPr>
                <w:rFonts w:hint="eastAsia" w:ascii="PMingLiU" w:hAnsi="PMingLiU" w:eastAsia="宋体"/>
                <w:lang w:eastAsia="zh-CN"/>
              </w:rPr>
              <w:t>依据占配分的</w:t>
            </w:r>
            <w:r>
              <w:rPr>
                <w:rFonts w:ascii="PMingLiU" w:hAnsi="PMingLiU" w:eastAsia="宋体"/>
                <w:lang w:eastAsia="zh-CN"/>
              </w:rPr>
              <w:t>100%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90%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60%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30%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0%</w:t>
            </w:r>
            <w:r>
              <w:rPr>
                <w:rFonts w:hint="eastAsia" w:ascii="PMingLiU" w:hAnsi="PMingLiU" w:eastAsia="宋体"/>
                <w:lang w:eastAsia="zh-CN"/>
              </w:rPr>
              <w:t>。</w:t>
            </w:r>
          </w:p>
        </w:tc>
      </w:tr>
    </w:tbl>
    <w:p>
      <w:pPr>
        <w:pStyle w:val="2"/>
        <w:adjustRightInd w:val="0"/>
        <w:snapToGrid w:val="0"/>
        <w:jc w:val="center"/>
        <w:textAlignment w:val="baseline"/>
        <w:rPr>
          <w:rFonts w:ascii="PMingLiU" w:hAnsi="PMingLiU"/>
          <w:b/>
        </w:rPr>
      </w:pPr>
    </w:p>
    <w:p>
      <w:pPr>
        <w:pStyle w:val="4"/>
        <w:snapToGrid w:val="0"/>
        <w:spacing w:line="240" w:lineRule="auto"/>
        <w:ind w:left="360" w:hanging="360"/>
        <w:rPr>
          <w:rFonts w:ascii="PMingLiU" w:hAnsi="PMingLiU"/>
          <w:szCs w:val="24"/>
          <w:u w:val="single"/>
        </w:rPr>
      </w:pPr>
      <w:r>
        <w:br w:type="page"/>
      </w:r>
      <w:r>
        <w:rPr>
          <w:rFonts w:hint="eastAsia" w:ascii="PMingLiU" w:hAnsi="PMingLiU" w:eastAsia="宋体"/>
          <w:szCs w:val="24"/>
          <w:u w:val="single"/>
          <w:lang w:eastAsia="zh-CN"/>
        </w:rPr>
        <w:t>附件</w:t>
      </w:r>
      <w:r>
        <w:rPr>
          <w:rFonts w:ascii="PMingLiU" w:hAnsi="PMingLiU" w:eastAsia="宋体"/>
          <w:szCs w:val="24"/>
          <w:u w:val="single"/>
          <w:lang w:eastAsia="zh-CN"/>
        </w:rPr>
        <w:t>2</w:t>
      </w:r>
    </w:p>
    <w:tbl>
      <w:tblPr>
        <w:tblStyle w:val="9"/>
        <w:tblW w:w="8618" w:type="dxa"/>
        <w:jc w:val="center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2"/>
        <w:gridCol w:w="1437"/>
        <w:gridCol w:w="1437"/>
        <w:gridCol w:w="1146"/>
        <w:gridCol w:w="291"/>
        <w:gridCol w:w="882"/>
        <w:gridCol w:w="55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DFKai-SB" w:eastAsia="DFKai-SB"/>
                <w:sz w:val="36"/>
              </w:rPr>
            </w:pPr>
            <w:r>
              <w:rPr>
                <w:rFonts w:hint="eastAsia"/>
                <w:b/>
                <w:sz w:val="36"/>
              </w:rPr>
              <w:t>「电工实训」学习评价单</w:t>
            </w:r>
          </w:p>
          <w:p>
            <w:pPr>
              <w:snapToGrid w:val="0"/>
              <w:jc w:val="center"/>
              <w:rPr>
                <w:rFonts w:ascii="PMingLiU" w:hAnsi="PMingLiU"/>
              </w:rPr>
            </w:pPr>
            <w:r>
              <w:rPr>
                <w:rFonts w:hint="eastAsia"/>
              </w:rPr>
              <w:t>姓名：</w:t>
            </w:r>
            <w:r>
              <w:t xml:space="preserve">        </w:t>
            </w:r>
            <w:r>
              <w:rPr>
                <w:rFonts w:hint="eastAsia"/>
              </w:rPr>
              <w:t xml:space="preserve">班别：     </w:t>
            </w:r>
            <w:r>
              <w:t xml:space="preserve">     </w:t>
            </w:r>
            <w:r>
              <w:rPr>
                <w:rFonts w:hint="eastAsia"/>
              </w:rPr>
              <w:t>学号：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  <w:r>
              <w:t xml:space="preserve">     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ascii="DFKai-SB"/>
              </w:rPr>
              <w:t xml:space="preserve">    </w:t>
            </w:r>
            <w:r>
              <w:rPr>
                <w:rFonts w:hint="eastAsia" w:ascii="DFKai-SB"/>
              </w:rPr>
              <w:t>各位同学：为呈现本学期「电工实训」的完整学习历程，课程结束后将对学生进行「电机正反转控制线路连接」实作测试。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hint="eastAsia" w:ascii="DFKai-SB" w:hAnsi="DFKai-SB"/>
                <w:b/>
                <w:u w:val="single"/>
              </w:rPr>
              <w:t>一、实作内容重点与评价：</w:t>
            </w:r>
            <w:r>
              <w:rPr>
                <w:rFonts w:hint="eastAsia" w:ascii="PMingLiU" w:hAnsi="PMingLiU"/>
              </w:rPr>
              <w:t>请针对下列评价项目并参酌「二、评价规准」，于自评字段打「</w:t>
            </w:r>
            <w:r>
              <w:rPr>
                <w:rFonts w:ascii="PMingLiU" w:hAnsi="PMingLiU"/>
              </w:rPr>
              <w:t>A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B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C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D</w:t>
            </w:r>
            <w:r>
              <w:rPr>
                <w:rFonts w:hint="eastAsia" w:ascii="PMingLiU" w:hAnsi="PMingLiU"/>
              </w:rPr>
              <w:t>、</w:t>
            </w:r>
            <w:r>
              <w:rPr>
                <w:rFonts w:ascii="PMingLiU" w:hAnsi="PMingLiU"/>
              </w:rPr>
              <w:t>E</w:t>
            </w:r>
            <w:r>
              <w:rPr>
                <w:rFonts w:hint="eastAsia" w:ascii="PMingLiU" w:hAnsi="PMingLiU"/>
              </w:rPr>
              <w:t>」其中一项后，再请老师于合计栏复评。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2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评价项目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  <w:spacing w:val="-10"/>
              </w:rPr>
            </w:pPr>
            <w:r>
              <w:rPr>
                <w:rFonts w:hint="eastAsia" w:ascii="PMingLiU" w:hAnsi="PMingLiU"/>
                <w:spacing w:val="-10"/>
              </w:rPr>
              <w:t>自评与老师复评</w:t>
            </w:r>
            <w:r>
              <w:rPr>
                <w:rFonts w:ascii="PMingLiU" w:hAnsi="PMingLiU"/>
                <w:spacing w:val="-10"/>
              </w:rPr>
              <w:t>(A</w:t>
            </w:r>
            <w:r>
              <w:rPr>
                <w:rFonts w:hint="eastAsia" w:ascii="PMingLiU" w:hAnsi="PMingLiU"/>
                <w:spacing w:val="-10"/>
              </w:rPr>
              <w:t>至</w:t>
            </w:r>
            <w:r>
              <w:rPr>
                <w:rFonts w:ascii="PMingLiU" w:hAnsi="PMingLiU"/>
                <w:spacing w:val="-10"/>
              </w:rPr>
              <w:t>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自评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1.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电工仪表选择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(10%)</w:t>
            </w: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tr2bl w:val="single" w:color="auto" w:sz="4" w:space="0"/>
            </w:tcBorders>
            <w:shd w:val="pct10" w:color="auto" w:fill="auto"/>
          </w:tcPr>
          <w:p>
            <w:pPr>
              <w:pStyle w:val="3"/>
              <w:snapToGrid w:val="0"/>
              <w:spacing w:line="260" w:lineRule="exact"/>
              <w:rPr>
                <w:rFonts w:hAnsi="PMingLiU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2.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电工工具选择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(20%)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2" w:type="dxa"/>
            <w:gridSpan w:val="4"/>
            <w:tcBorders>
              <w:bottom w:val="nil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3.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电机正反转控制电路连接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(30%)</w:t>
            </w:r>
            <w:r>
              <w:rPr>
                <w:rFonts w:ascii="PMingLiU" w:hAnsi="PMingLiU" w:eastAsia="PMingLiU"/>
                <w:kern w:val="2"/>
                <w:szCs w:val="22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4.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线路敷设工艺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(10%)</w:t>
            </w: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5.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试车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(10%)</w:t>
            </w: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462" w:type="dxa"/>
            <w:gridSpan w:val="4"/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6.</w:t>
            </w: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安全操作及5S操作规范</w:t>
            </w:r>
            <w:r>
              <w:rPr>
                <w:rFonts w:ascii="PMingLiU" w:hAnsi="PMingLiU" w:eastAsia="宋体"/>
                <w:kern w:val="2"/>
                <w:szCs w:val="22"/>
                <w:lang w:eastAsia="zh-CN"/>
              </w:rPr>
              <w:t>(10%)</w:t>
            </w:r>
          </w:p>
        </w:tc>
        <w:tc>
          <w:tcPr>
            <w:tcW w:w="1173" w:type="dxa"/>
            <w:gridSpan w:val="2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tr2bl w:val="single" w:color="auto" w:sz="4" w:space="0"/>
            </w:tcBorders>
            <w:shd w:val="pct10" w:color="auto" w:fill="auto"/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2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napToGrid w:val="0"/>
              <w:spacing w:line="260" w:lineRule="exact"/>
              <w:rPr>
                <w:rFonts w:ascii="PMingLiU" w:hAnsi="PMingLiU" w:eastAsia="PMingLiU"/>
                <w:kern w:val="2"/>
                <w:szCs w:val="22"/>
              </w:rPr>
            </w:pPr>
            <w:r>
              <w:rPr>
                <w:rFonts w:hint="eastAsia" w:ascii="PMingLiU" w:hAnsi="PMingLiU" w:eastAsia="宋体"/>
                <w:kern w:val="2"/>
                <w:szCs w:val="22"/>
                <w:lang w:eastAsia="zh-CN"/>
              </w:rPr>
              <w:t>合计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tcBorders>
              <w:bottom w:val="nil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分享：</w:t>
            </w:r>
          </w:p>
          <w:p>
            <w:pPr>
              <w:adjustRightInd w:val="0"/>
              <w:snapToGrid w:val="0"/>
              <w:spacing w:line="260" w:lineRule="exact"/>
              <w:rPr>
                <w:rFonts w:ascii="PMingLiU" w:hAnsi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tcBorders>
              <w:top w:val="nil"/>
            </w:tcBorders>
          </w:tcPr>
          <w:p>
            <w:pPr>
              <w:adjustRightInd w:val="0"/>
              <w:snapToGrid w:val="0"/>
              <w:spacing w:line="260" w:lineRule="exact"/>
              <w:jc w:val="right"/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评价教师：</w:t>
            </w:r>
            <w:r>
              <w:rPr>
                <w:rFonts w:ascii="PMingLiU" w:hAnsi="PMingLiU"/>
              </w:rPr>
              <w:t xml:space="preserve">         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hint="eastAsia" w:hAnsi="DFKai-SB" w:eastAsia="宋体"/>
                <w:b/>
                <w:kern w:val="2"/>
                <w:sz w:val="24"/>
                <w:u w:val="single"/>
              </w:rPr>
              <w:t>二、评价规准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hint="eastAsia" w:ascii="PMingLiU" w:hAnsi="PMingLiU" w:eastAsia="宋体"/>
                <w:sz w:val="24"/>
              </w:rPr>
              <w:t>符号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A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</w:rPr>
              <w:t>5分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B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</w:rPr>
              <w:t>4分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C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</w:rPr>
              <w:t>3分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D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</w:rPr>
              <w:t>2分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)</w:t>
            </w:r>
          </w:p>
        </w:tc>
        <w:tc>
          <w:tcPr>
            <w:tcW w:w="1428" w:type="dxa"/>
            <w:vAlign w:val="center"/>
          </w:tcPr>
          <w:p>
            <w:pPr>
              <w:pStyle w:val="2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hAnsi="PMingLiU"/>
                <w:sz w:val="24"/>
                <w:lang w:eastAsia="zh-TW"/>
              </w:rPr>
            </w:pPr>
            <w:r>
              <w:rPr>
                <w:rFonts w:ascii="PMingLiU" w:hAnsi="PMingLiU" w:eastAsia="宋体"/>
                <w:sz w:val="24"/>
              </w:rPr>
              <w:t>E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</w:rPr>
              <w:t>0分</w:t>
            </w:r>
            <w:r>
              <w:rPr>
                <w:rFonts w:ascii="PMingLiU" w:hAnsi="PMingLiU" w:eastAsia="宋体"/>
                <w:kern w:val="2"/>
                <w:sz w:val="21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1.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电工仪表选择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5分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电工仪表选择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正确且</w:t>
            </w: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使用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规范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二者只有一项稍欠缺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二者只有二项稍欠缺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二者大部分欠缺</w:t>
            </w:r>
          </w:p>
        </w:tc>
        <w:tc>
          <w:tcPr>
            <w:tcW w:w="1428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无选择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2.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电工工具选择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(5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电工工具选择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正确且</w:t>
            </w: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使用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规范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二者只有一项稍欠缺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二者只有二项稍欠缺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二者大部分欠缺</w:t>
            </w:r>
          </w:p>
        </w:tc>
        <w:tc>
          <w:tcPr>
            <w:tcW w:w="1428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无选择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3.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电机正反转控制电路连接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(5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 xml:space="preserve">) 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b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按图安装、元件安装牢固、元件安装整齐、无元件损坏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四项只有一项稍欠缺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四项只有二项稍欠缺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四项只有三项欠缺</w:t>
            </w:r>
          </w:p>
        </w:tc>
        <w:tc>
          <w:tcPr>
            <w:tcW w:w="1428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四项均欠缺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4.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线路敷设工艺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(5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b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导线截面选择正确、按图接线、布线符合要求、导线绝缘和线芯无损坏、无漏套或没套编码管、连接接地线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六项只有一项稍欠缺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六项只有三项稍欠缺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六项只有五项欠缺</w:t>
            </w:r>
          </w:p>
        </w:tc>
        <w:tc>
          <w:tcPr>
            <w:tcW w:w="1428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六项均欠缺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5.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试车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(5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一次试车成功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二次试车成功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三次试车成功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四次试车成功</w:t>
            </w:r>
          </w:p>
        </w:tc>
        <w:tc>
          <w:tcPr>
            <w:tcW w:w="1428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试车不成功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1442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6.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安全操作及5S操作规范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(5</w:t>
            </w:r>
            <w:r>
              <w:rPr>
                <w:rFonts w:hint="eastAsia" w:ascii="PMingLiU" w:hAnsi="PMingLiU" w:eastAsia="宋体"/>
                <w:kern w:val="2"/>
                <w:sz w:val="21"/>
                <w:szCs w:val="22"/>
                <w:lang w:eastAsia="zh-CN"/>
              </w:rPr>
              <w:t>分</w:t>
            </w:r>
            <w:r>
              <w:rPr>
                <w:rFonts w:ascii="PMingLiU" w:hAnsi="PMingLiU" w:eastAsia="宋体"/>
                <w:kern w:val="2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1437" w:type="dxa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宋体"/>
                <w:b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PMingLiU" w:hAnsi="PMingLiU" w:eastAsia="宋体"/>
                <w:b/>
                <w:kern w:val="2"/>
                <w:sz w:val="21"/>
                <w:szCs w:val="22"/>
                <w:lang w:eastAsia="zh-CN"/>
              </w:rPr>
              <w:t>安全规范生产、5S操作规范</w:t>
            </w:r>
          </w:p>
        </w:tc>
        <w:tc>
          <w:tcPr>
            <w:tcW w:w="1437" w:type="dxa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二者只有一项稍欠缺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二者只有二项稍欠缺</w:t>
            </w:r>
          </w:p>
        </w:tc>
        <w:tc>
          <w:tcPr>
            <w:tcW w:w="1437" w:type="dxa"/>
            <w:gridSpan w:val="2"/>
          </w:tcPr>
          <w:p>
            <w:pPr>
              <w:rPr>
                <w:rFonts w:ascii="PMingLiU" w:hAnsi="PMingLiU"/>
              </w:rPr>
            </w:pPr>
            <w:r>
              <w:rPr>
                <w:rFonts w:hint="eastAsia" w:ascii="PMingLiU" w:hAnsi="PMingLiU"/>
              </w:rPr>
              <w:t>二者大部分欠缺</w:t>
            </w:r>
          </w:p>
        </w:tc>
        <w:tc>
          <w:tcPr>
            <w:tcW w:w="1428" w:type="dxa"/>
          </w:tcPr>
          <w:p>
            <w:pPr/>
            <w:r>
              <w:rPr>
                <w:rFonts w:hint="eastAsia" w:ascii="PMingLiU" w:hAnsi="PMingLiU"/>
              </w:rPr>
              <w:t>无安全和5S意识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18" w:type="dxa"/>
            <w:gridSpan w:val="8"/>
          </w:tcPr>
          <w:p>
            <w:pPr>
              <w:pStyle w:val="4"/>
              <w:snapToGrid w:val="0"/>
              <w:spacing w:line="260" w:lineRule="exact"/>
              <w:jc w:val="both"/>
              <w:rPr>
                <w:rFonts w:ascii="PMingLiU" w:hAnsi="PMingLiU" w:eastAsia="PMingLiU"/>
              </w:rPr>
            </w:pPr>
            <w:r>
              <w:rPr>
                <w:rFonts w:hint="eastAsia" w:ascii="PMingLiU" w:hAnsi="PMingLiU" w:eastAsia="宋体"/>
                <w:lang w:eastAsia="zh-CN"/>
              </w:rPr>
              <w:t>注：各项目之</w:t>
            </w:r>
            <w:r>
              <w:rPr>
                <w:rFonts w:ascii="PMingLiU" w:hAnsi="PMingLiU" w:eastAsia="宋体"/>
                <w:lang w:eastAsia="zh-CN"/>
              </w:rPr>
              <w:t>A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B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C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D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E</w:t>
            </w:r>
            <w:r>
              <w:rPr>
                <w:rFonts w:hint="eastAsia" w:ascii="PMingLiU" w:hAnsi="PMingLiU" w:eastAsia="宋体"/>
                <w:lang w:eastAsia="zh-CN"/>
              </w:rPr>
              <w:t>依据占配分的</w:t>
            </w:r>
            <w:r>
              <w:rPr>
                <w:rFonts w:ascii="PMingLiU" w:hAnsi="PMingLiU" w:eastAsia="宋体"/>
                <w:lang w:eastAsia="zh-CN"/>
              </w:rPr>
              <w:t>100%</w:t>
            </w:r>
            <w:r>
              <w:rPr>
                <w:rFonts w:hint="eastAsia" w:ascii="PMingLiU" w:hAnsi="PMingLiU" w:eastAsia="宋体"/>
                <w:lang w:eastAsia="zh-CN"/>
              </w:rPr>
              <w:t>、8</w:t>
            </w:r>
            <w:r>
              <w:rPr>
                <w:rFonts w:ascii="PMingLiU" w:hAnsi="PMingLiU" w:eastAsia="宋体"/>
                <w:lang w:eastAsia="zh-CN"/>
              </w:rPr>
              <w:t>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60%</w:t>
            </w:r>
            <w:r>
              <w:rPr>
                <w:rFonts w:hint="eastAsia" w:ascii="PMingLiU" w:hAnsi="PMingLiU" w:eastAsia="宋体"/>
                <w:lang w:eastAsia="zh-CN"/>
              </w:rPr>
              <w:t>、4</w:t>
            </w:r>
            <w:r>
              <w:rPr>
                <w:rFonts w:ascii="PMingLiU" w:hAnsi="PMingLiU" w:eastAsia="宋体"/>
                <w:lang w:eastAsia="zh-CN"/>
              </w:rPr>
              <w:t>0%</w:t>
            </w:r>
            <w:r>
              <w:rPr>
                <w:rFonts w:hint="eastAsia" w:ascii="PMingLiU" w:hAnsi="PMingLiU" w:eastAsia="宋体"/>
                <w:lang w:eastAsia="zh-CN"/>
              </w:rPr>
              <w:t>、</w:t>
            </w:r>
            <w:r>
              <w:rPr>
                <w:rFonts w:ascii="PMingLiU" w:hAnsi="PMingLiU" w:eastAsia="宋体"/>
                <w:lang w:eastAsia="zh-CN"/>
              </w:rPr>
              <w:t>0%</w:t>
            </w:r>
            <w:r>
              <w:rPr>
                <w:rFonts w:hint="eastAsia" w:ascii="PMingLiU" w:hAnsi="PMingLiU" w:eastAsia="宋体"/>
                <w:lang w:eastAsia="zh-CN"/>
              </w:rPr>
              <w:t>。</w:t>
            </w:r>
          </w:p>
        </w:tc>
      </w:tr>
    </w:tbl>
    <w:p>
      <w:pPr>
        <w:rPr>
          <w:rFonts w:ascii="PMingLiU" w:hAnsi="PMingLiU" w:cs="HiddenHorzOCR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DFKai-SB">
    <w:altName w:val="MingLiU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309000000000000"/>
    <w:charset w:val="00"/>
    <w:family w:val="auto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EB6"/>
    <w:rsid w:val="00001163"/>
    <w:rsid w:val="00001E91"/>
    <w:rsid w:val="00002413"/>
    <w:rsid w:val="00007634"/>
    <w:rsid w:val="00010137"/>
    <w:rsid w:val="000127FC"/>
    <w:rsid w:val="00014CEC"/>
    <w:rsid w:val="000155CB"/>
    <w:rsid w:val="00021981"/>
    <w:rsid w:val="00027E30"/>
    <w:rsid w:val="00031C82"/>
    <w:rsid w:val="0003357F"/>
    <w:rsid w:val="000345AC"/>
    <w:rsid w:val="000369CE"/>
    <w:rsid w:val="00040182"/>
    <w:rsid w:val="000403EC"/>
    <w:rsid w:val="0004101E"/>
    <w:rsid w:val="00045F82"/>
    <w:rsid w:val="00045FAD"/>
    <w:rsid w:val="000545CF"/>
    <w:rsid w:val="00057DE9"/>
    <w:rsid w:val="00065829"/>
    <w:rsid w:val="00074C6B"/>
    <w:rsid w:val="0007514D"/>
    <w:rsid w:val="00080B1B"/>
    <w:rsid w:val="0008303B"/>
    <w:rsid w:val="000831E2"/>
    <w:rsid w:val="00084AF9"/>
    <w:rsid w:val="00086061"/>
    <w:rsid w:val="0009047F"/>
    <w:rsid w:val="000912B0"/>
    <w:rsid w:val="000923A9"/>
    <w:rsid w:val="00093E85"/>
    <w:rsid w:val="00094B0F"/>
    <w:rsid w:val="000953D7"/>
    <w:rsid w:val="00095CEE"/>
    <w:rsid w:val="000A0265"/>
    <w:rsid w:val="000A0358"/>
    <w:rsid w:val="000A3282"/>
    <w:rsid w:val="000A67B7"/>
    <w:rsid w:val="000B389B"/>
    <w:rsid w:val="000B4863"/>
    <w:rsid w:val="000B68FE"/>
    <w:rsid w:val="000B6B9E"/>
    <w:rsid w:val="000C4F14"/>
    <w:rsid w:val="000D6295"/>
    <w:rsid w:val="000D6983"/>
    <w:rsid w:val="000E2199"/>
    <w:rsid w:val="000E3176"/>
    <w:rsid w:val="000E32D7"/>
    <w:rsid w:val="000E3470"/>
    <w:rsid w:val="000E3D46"/>
    <w:rsid w:val="000E415D"/>
    <w:rsid w:val="000F0952"/>
    <w:rsid w:val="000F1EDF"/>
    <w:rsid w:val="000F771A"/>
    <w:rsid w:val="000F78B1"/>
    <w:rsid w:val="000F7D38"/>
    <w:rsid w:val="001074CB"/>
    <w:rsid w:val="0011104E"/>
    <w:rsid w:val="001117ED"/>
    <w:rsid w:val="00112D6F"/>
    <w:rsid w:val="0011391D"/>
    <w:rsid w:val="00113C3A"/>
    <w:rsid w:val="0012023D"/>
    <w:rsid w:val="00123E48"/>
    <w:rsid w:val="00124858"/>
    <w:rsid w:val="00124A94"/>
    <w:rsid w:val="00125C0D"/>
    <w:rsid w:val="0013247A"/>
    <w:rsid w:val="00135A0F"/>
    <w:rsid w:val="001378E8"/>
    <w:rsid w:val="0014235D"/>
    <w:rsid w:val="00143088"/>
    <w:rsid w:val="00144417"/>
    <w:rsid w:val="0015209B"/>
    <w:rsid w:val="00154CFB"/>
    <w:rsid w:val="001602F6"/>
    <w:rsid w:val="0016786B"/>
    <w:rsid w:val="001740C8"/>
    <w:rsid w:val="00174578"/>
    <w:rsid w:val="001747AD"/>
    <w:rsid w:val="001776D9"/>
    <w:rsid w:val="00181A31"/>
    <w:rsid w:val="00181B78"/>
    <w:rsid w:val="00182040"/>
    <w:rsid w:val="001834D6"/>
    <w:rsid w:val="00183B74"/>
    <w:rsid w:val="00187887"/>
    <w:rsid w:val="0019133F"/>
    <w:rsid w:val="00191409"/>
    <w:rsid w:val="001936FD"/>
    <w:rsid w:val="00193B34"/>
    <w:rsid w:val="00195150"/>
    <w:rsid w:val="00196626"/>
    <w:rsid w:val="00196EA2"/>
    <w:rsid w:val="00197AE5"/>
    <w:rsid w:val="001A248C"/>
    <w:rsid w:val="001A7501"/>
    <w:rsid w:val="001A758E"/>
    <w:rsid w:val="001B2E1E"/>
    <w:rsid w:val="001B5A09"/>
    <w:rsid w:val="001C2408"/>
    <w:rsid w:val="001C429D"/>
    <w:rsid w:val="001C4B02"/>
    <w:rsid w:val="001C7B5C"/>
    <w:rsid w:val="001C7BE6"/>
    <w:rsid w:val="001D03CF"/>
    <w:rsid w:val="001D4262"/>
    <w:rsid w:val="001D4844"/>
    <w:rsid w:val="001D69B4"/>
    <w:rsid w:val="001D7935"/>
    <w:rsid w:val="001E49CC"/>
    <w:rsid w:val="001F0034"/>
    <w:rsid w:val="001F1196"/>
    <w:rsid w:val="00201E42"/>
    <w:rsid w:val="002031C4"/>
    <w:rsid w:val="00204EDB"/>
    <w:rsid w:val="00212631"/>
    <w:rsid w:val="00213D0F"/>
    <w:rsid w:val="00220409"/>
    <w:rsid w:val="00221CAC"/>
    <w:rsid w:val="00222FB3"/>
    <w:rsid w:val="002266A6"/>
    <w:rsid w:val="00232A54"/>
    <w:rsid w:val="00233CA8"/>
    <w:rsid w:val="00234D4D"/>
    <w:rsid w:val="002357D7"/>
    <w:rsid w:val="002370F3"/>
    <w:rsid w:val="00240E2A"/>
    <w:rsid w:val="00240FE2"/>
    <w:rsid w:val="00241BD4"/>
    <w:rsid w:val="0024241C"/>
    <w:rsid w:val="0024369E"/>
    <w:rsid w:val="0024454E"/>
    <w:rsid w:val="00244999"/>
    <w:rsid w:val="002450A5"/>
    <w:rsid w:val="0025074A"/>
    <w:rsid w:val="0025314F"/>
    <w:rsid w:val="002558ED"/>
    <w:rsid w:val="00255925"/>
    <w:rsid w:val="002620C6"/>
    <w:rsid w:val="00264DCC"/>
    <w:rsid w:val="00265BBB"/>
    <w:rsid w:val="00265EB6"/>
    <w:rsid w:val="00270A9B"/>
    <w:rsid w:val="002736D2"/>
    <w:rsid w:val="002739D1"/>
    <w:rsid w:val="00275DF2"/>
    <w:rsid w:val="002764F8"/>
    <w:rsid w:val="0027769C"/>
    <w:rsid w:val="002778DA"/>
    <w:rsid w:val="0028075D"/>
    <w:rsid w:val="002813A9"/>
    <w:rsid w:val="002828EF"/>
    <w:rsid w:val="002840EC"/>
    <w:rsid w:val="00284C07"/>
    <w:rsid w:val="00285991"/>
    <w:rsid w:val="002865A7"/>
    <w:rsid w:val="00286DB7"/>
    <w:rsid w:val="0028735A"/>
    <w:rsid w:val="00292C5E"/>
    <w:rsid w:val="002937BE"/>
    <w:rsid w:val="00295894"/>
    <w:rsid w:val="00296BBA"/>
    <w:rsid w:val="00297EE5"/>
    <w:rsid w:val="002A0C9D"/>
    <w:rsid w:val="002A2DB1"/>
    <w:rsid w:val="002A30F5"/>
    <w:rsid w:val="002A3147"/>
    <w:rsid w:val="002A3EC5"/>
    <w:rsid w:val="002A4B62"/>
    <w:rsid w:val="002A74A7"/>
    <w:rsid w:val="002B28DD"/>
    <w:rsid w:val="002C2EF2"/>
    <w:rsid w:val="002D06D1"/>
    <w:rsid w:val="002D248B"/>
    <w:rsid w:val="002D31E5"/>
    <w:rsid w:val="002D3B45"/>
    <w:rsid w:val="002D45D2"/>
    <w:rsid w:val="002D5525"/>
    <w:rsid w:val="002D5673"/>
    <w:rsid w:val="002D738D"/>
    <w:rsid w:val="002E5129"/>
    <w:rsid w:val="002F20EA"/>
    <w:rsid w:val="002F55A8"/>
    <w:rsid w:val="0030112B"/>
    <w:rsid w:val="003053B5"/>
    <w:rsid w:val="00307F2C"/>
    <w:rsid w:val="0031093B"/>
    <w:rsid w:val="00310EEE"/>
    <w:rsid w:val="00312FC9"/>
    <w:rsid w:val="003201E0"/>
    <w:rsid w:val="0032556C"/>
    <w:rsid w:val="00325A21"/>
    <w:rsid w:val="00326FFC"/>
    <w:rsid w:val="00335AAA"/>
    <w:rsid w:val="00337411"/>
    <w:rsid w:val="0034324A"/>
    <w:rsid w:val="003436C1"/>
    <w:rsid w:val="0034487F"/>
    <w:rsid w:val="00345A1C"/>
    <w:rsid w:val="00352BFC"/>
    <w:rsid w:val="003534B2"/>
    <w:rsid w:val="003630E9"/>
    <w:rsid w:val="00363533"/>
    <w:rsid w:val="00365619"/>
    <w:rsid w:val="003713C2"/>
    <w:rsid w:val="00372B29"/>
    <w:rsid w:val="00377745"/>
    <w:rsid w:val="00380F02"/>
    <w:rsid w:val="00384ABB"/>
    <w:rsid w:val="00391A25"/>
    <w:rsid w:val="00394A9A"/>
    <w:rsid w:val="003A4D86"/>
    <w:rsid w:val="003A5AFC"/>
    <w:rsid w:val="003A7A7F"/>
    <w:rsid w:val="003B1ECA"/>
    <w:rsid w:val="003B3576"/>
    <w:rsid w:val="003B5246"/>
    <w:rsid w:val="003B6E8B"/>
    <w:rsid w:val="003C0D42"/>
    <w:rsid w:val="003C2E6C"/>
    <w:rsid w:val="003C4EEC"/>
    <w:rsid w:val="003D1D3B"/>
    <w:rsid w:val="003D26D6"/>
    <w:rsid w:val="003D2F52"/>
    <w:rsid w:val="003D604B"/>
    <w:rsid w:val="003E0331"/>
    <w:rsid w:val="003F1884"/>
    <w:rsid w:val="003F258E"/>
    <w:rsid w:val="003F4E07"/>
    <w:rsid w:val="003F5CF2"/>
    <w:rsid w:val="003F5F03"/>
    <w:rsid w:val="003F60A7"/>
    <w:rsid w:val="00404588"/>
    <w:rsid w:val="0040485C"/>
    <w:rsid w:val="00407F61"/>
    <w:rsid w:val="00407F8C"/>
    <w:rsid w:val="004103D8"/>
    <w:rsid w:val="00410456"/>
    <w:rsid w:val="004104FC"/>
    <w:rsid w:val="00413B12"/>
    <w:rsid w:val="00425650"/>
    <w:rsid w:val="004263EC"/>
    <w:rsid w:val="00427E3C"/>
    <w:rsid w:val="00430CD3"/>
    <w:rsid w:val="00433FF7"/>
    <w:rsid w:val="00435493"/>
    <w:rsid w:val="00440F8A"/>
    <w:rsid w:val="00441A7A"/>
    <w:rsid w:val="00443029"/>
    <w:rsid w:val="0044555C"/>
    <w:rsid w:val="00445EB6"/>
    <w:rsid w:val="00451406"/>
    <w:rsid w:val="00451917"/>
    <w:rsid w:val="004719D8"/>
    <w:rsid w:val="00471DA6"/>
    <w:rsid w:val="00477DDD"/>
    <w:rsid w:val="004919AE"/>
    <w:rsid w:val="0049295F"/>
    <w:rsid w:val="00492A29"/>
    <w:rsid w:val="00492ED6"/>
    <w:rsid w:val="004935A9"/>
    <w:rsid w:val="00497E8C"/>
    <w:rsid w:val="004A067B"/>
    <w:rsid w:val="004A4700"/>
    <w:rsid w:val="004A4F12"/>
    <w:rsid w:val="004A4F62"/>
    <w:rsid w:val="004A588C"/>
    <w:rsid w:val="004A5A6D"/>
    <w:rsid w:val="004A5B61"/>
    <w:rsid w:val="004A6B80"/>
    <w:rsid w:val="004B158C"/>
    <w:rsid w:val="004B1688"/>
    <w:rsid w:val="004B2D9F"/>
    <w:rsid w:val="004B3C62"/>
    <w:rsid w:val="004B3EC0"/>
    <w:rsid w:val="004B4556"/>
    <w:rsid w:val="004B623B"/>
    <w:rsid w:val="004C41A9"/>
    <w:rsid w:val="004C585E"/>
    <w:rsid w:val="004D192C"/>
    <w:rsid w:val="004D5F65"/>
    <w:rsid w:val="004D6F7F"/>
    <w:rsid w:val="004E10FE"/>
    <w:rsid w:val="004E122C"/>
    <w:rsid w:val="004E3C20"/>
    <w:rsid w:val="004E78FC"/>
    <w:rsid w:val="004E7E59"/>
    <w:rsid w:val="004F0AFB"/>
    <w:rsid w:val="004F21E0"/>
    <w:rsid w:val="004F4FCF"/>
    <w:rsid w:val="004F5D69"/>
    <w:rsid w:val="004F5EE1"/>
    <w:rsid w:val="005004AB"/>
    <w:rsid w:val="00500C26"/>
    <w:rsid w:val="00502968"/>
    <w:rsid w:val="00503F37"/>
    <w:rsid w:val="00504D8A"/>
    <w:rsid w:val="005053D4"/>
    <w:rsid w:val="0051146D"/>
    <w:rsid w:val="0051194A"/>
    <w:rsid w:val="0051279D"/>
    <w:rsid w:val="0051568A"/>
    <w:rsid w:val="005167F4"/>
    <w:rsid w:val="00517109"/>
    <w:rsid w:val="00517EB1"/>
    <w:rsid w:val="005272A2"/>
    <w:rsid w:val="00531A39"/>
    <w:rsid w:val="00531AB6"/>
    <w:rsid w:val="005338E8"/>
    <w:rsid w:val="00534277"/>
    <w:rsid w:val="0054144E"/>
    <w:rsid w:val="00541C4A"/>
    <w:rsid w:val="00542312"/>
    <w:rsid w:val="00542F1D"/>
    <w:rsid w:val="00544892"/>
    <w:rsid w:val="005467AE"/>
    <w:rsid w:val="00547077"/>
    <w:rsid w:val="00553A05"/>
    <w:rsid w:val="00555398"/>
    <w:rsid w:val="005554D6"/>
    <w:rsid w:val="0055790A"/>
    <w:rsid w:val="00576F75"/>
    <w:rsid w:val="0058183E"/>
    <w:rsid w:val="00581B7C"/>
    <w:rsid w:val="00582CB5"/>
    <w:rsid w:val="00583836"/>
    <w:rsid w:val="00583A4F"/>
    <w:rsid w:val="005937AA"/>
    <w:rsid w:val="00595CF3"/>
    <w:rsid w:val="0059609B"/>
    <w:rsid w:val="005A52BA"/>
    <w:rsid w:val="005A6949"/>
    <w:rsid w:val="005A72BE"/>
    <w:rsid w:val="005A7BA8"/>
    <w:rsid w:val="005B22D3"/>
    <w:rsid w:val="005B39AD"/>
    <w:rsid w:val="005B5A84"/>
    <w:rsid w:val="005B6997"/>
    <w:rsid w:val="005B6B36"/>
    <w:rsid w:val="005C13E9"/>
    <w:rsid w:val="005C3EC9"/>
    <w:rsid w:val="005C765D"/>
    <w:rsid w:val="005D0801"/>
    <w:rsid w:val="005D2F66"/>
    <w:rsid w:val="005D480D"/>
    <w:rsid w:val="005D5DDE"/>
    <w:rsid w:val="005D7580"/>
    <w:rsid w:val="005E1266"/>
    <w:rsid w:val="005E524B"/>
    <w:rsid w:val="005E7133"/>
    <w:rsid w:val="005F05F7"/>
    <w:rsid w:val="005F2907"/>
    <w:rsid w:val="005F3592"/>
    <w:rsid w:val="005F5B91"/>
    <w:rsid w:val="005F6528"/>
    <w:rsid w:val="005F7802"/>
    <w:rsid w:val="00600C91"/>
    <w:rsid w:val="00601E86"/>
    <w:rsid w:val="00602988"/>
    <w:rsid w:val="00604336"/>
    <w:rsid w:val="00604F43"/>
    <w:rsid w:val="006051B2"/>
    <w:rsid w:val="006070CC"/>
    <w:rsid w:val="00611192"/>
    <w:rsid w:val="006122CF"/>
    <w:rsid w:val="00612DAC"/>
    <w:rsid w:val="00613C6D"/>
    <w:rsid w:val="00615092"/>
    <w:rsid w:val="006164A3"/>
    <w:rsid w:val="006172FB"/>
    <w:rsid w:val="00620F55"/>
    <w:rsid w:val="006217D8"/>
    <w:rsid w:val="00622932"/>
    <w:rsid w:val="00623FDB"/>
    <w:rsid w:val="00625D29"/>
    <w:rsid w:val="00626697"/>
    <w:rsid w:val="00627740"/>
    <w:rsid w:val="00627D53"/>
    <w:rsid w:val="00633B6A"/>
    <w:rsid w:val="006429F6"/>
    <w:rsid w:val="00643274"/>
    <w:rsid w:val="00644CF2"/>
    <w:rsid w:val="00647917"/>
    <w:rsid w:val="00652906"/>
    <w:rsid w:val="00656DA0"/>
    <w:rsid w:val="00661FBF"/>
    <w:rsid w:val="006629E0"/>
    <w:rsid w:val="00664199"/>
    <w:rsid w:val="006722D2"/>
    <w:rsid w:val="006731D9"/>
    <w:rsid w:val="0067511F"/>
    <w:rsid w:val="0068405C"/>
    <w:rsid w:val="00686AEE"/>
    <w:rsid w:val="00687809"/>
    <w:rsid w:val="00692BAE"/>
    <w:rsid w:val="0069400A"/>
    <w:rsid w:val="00694441"/>
    <w:rsid w:val="00696119"/>
    <w:rsid w:val="006A13EB"/>
    <w:rsid w:val="006A2EC5"/>
    <w:rsid w:val="006A6B3B"/>
    <w:rsid w:val="006B0D44"/>
    <w:rsid w:val="006B1B8F"/>
    <w:rsid w:val="006B577F"/>
    <w:rsid w:val="006B7A23"/>
    <w:rsid w:val="006B7B9F"/>
    <w:rsid w:val="006C20B4"/>
    <w:rsid w:val="006C2D84"/>
    <w:rsid w:val="006C3278"/>
    <w:rsid w:val="006C4618"/>
    <w:rsid w:val="006C4FB8"/>
    <w:rsid w:val="006D118F"/>
    <w:rsid w:val="006E18C4"/>
    <w:rsid w:val="006E2A2E"/>
    <w:rsid w:val="006E471D"/>
    <w:rsid w:val="006E7E12"/>
    <w:rsid w:val="006F2515"/>
    <w:rsid w:val="00700127"/>
    <w:rsid w:val="0070310B"/>
    <w:rsid w:val="00703287"/>
    <w:rsid w:val="007046E7"/>
    <w:rsid w:val="00705FA6"/>
    <w:rsid w:val="007067A4"/>
    <w:rsid w:val="007221B4"/>
    <w:rsid w:val="0072668A"/>
    <w:rsid w:val="00730CAD"/>
    <w:rsid w:val="00730E6F"/>
    <w:rsid w:val="00732A9C"/>
    <w:rsid w:val="00732ACB"/>
    <w:rsid w:val="00734F8A"/>
    <w:rsid w:val="0074066F"/>
    <w:rsid w:val="00743B6B"/>
    <w:rsid w:val="00750D49"/>
    <w:rsid w:val="00752405"/>
    <w:rsid w:val="00752607"/>
    <w:rsid w:val="00753DFF"/>
    <w:rsid w:val="00754F34"/>
    <w:rsid w:val="00760153"/>
    <w:rsid w:val="00762254"/>
    <w:rsid w:val="007653EA"/>
    <w:rsid w:val="007707BE"/>
    <w:rsid w:val="00770D64"/>
    <w:rsid w:val="00773085"/>
    <w:rsid w:val="00774E79"/>
    <w:rsid w:val="007756DC"/>
    <w:rsid w:val="007774CB"/>
    <w:rsid w:val="007841B7"/>
    <w:rsid w:val="00785055"/>
    <w:rsid w:val="007861F4"/>
    <w:rsid w:val="00787422"/>
    <w:rsid w:val="00795346"/>
    <w:rsid w:val="00797609"/>
    <w:rsid w:val="007A23B0"/>
    <w:rsid w:val="007A3DE9"/>
    <w:rsid w:val="007A7EC7"/>
    <w:rsid w:val="007B003D"/>
    <w:rsid w:val="007B393C"/>
    <w:rsid w:val="007B7C8A"/>
    <w:rsid w:val="007C0084"/>
    <w:rsid w:val="007C354B"/>
    <w:rsid w:val="007C50E6"/>
    <w:rsid w:val="007D5584"/>
    <w:rsid w:val="007D7544"/>
    <w:rsid w:val="007E41B3"/>
    <w:rsid w:val="007E627E"/>
    <w:rsid w:val="007F16EA"/>
    <w:rsid w:val="007F2688"/>
    <w:rsid w:val="007F4E41"/>
    <w:rsid w:val="007F55FE"/>
    <w:rsid w:val="007F5EAB"/>
    <w:rsid w:val="00801F6B"/>
    <w:rsid w:val="0080301A"/>
    <w:rsid w:val="008039A7"/>
    <w:rsid w:val="00804FC5"/>
    <w:rsid w:val="00805609"/>
    <w:rsid w:val="00811334"/>
    <w:rsid w:val="00812EBE"/>
    <w:rsid w:val="0081408A"/>
    <w:rsid w:val="00820A9C"/>
    <w:rsid w:val="008229D8"/>
    <w:rsid w:val="0082387A"/>
    <w:rsid w:val="008241D2"/>
    <w:rsid w:val="008248DB"/>
    <w:rsid w:val="008262A1"/>
    <w:rsid w:val="0082688A"/>
    <w:rsid w:val="0083202D"/>
    <w:rsid w:val="00834402"/>
    <w:rsid w:val="00835999"/>
    <w:rsid w:val="00842024"/>
    <w:rsid w:val="00842D2C"/>
    <w:rsid w:val="00843370"/>
    <w:rsid w:val="00843D06"/>
    <w:rsid w:val="00844033"/>
    <w:rsid w:val="00854599"/>
    <w:rsid w:val="00856EC7"/>
    <w:rsid w:val="0086129F"/>
    <w:rsid w:val="00862F5F"/>
    <w:rsid w:val="008636A3"/>
    <w:rsid w:val="00863C18"/>
    <w:rsid w:val="00863EB9"/>
    <w:rsid w:val="00864818"/>
    <w:rsid w:val="00872611"/>
    <w:rsid w:val="008729E7"/>
    <w:rsid w:val="008744EF"/>
    <w:rsid w:val="00875580"/>
    <w:rsid w:val="00877E57"/>
    <w:rsid w:val="00880B68"/>
    <w:rsid w:val="008833FE"/>
    <w:rsid w:val="0088352E"/>
    <w:rsid w:val="0089105A"/>
    <w:rsid w:val="008924C9"/>
    <w:rsid w:val="00897AB2"/>
    <w:rsid w:val="008A337A"/>
    <w:rsid w:val="008A35DA"/>
    <w:rsid w:val="008A5A29"/>
    <w:rsid w:val="008A73E1"/>
    <w:rsid w:val="008B084E"/>
    <w:rsid w:val="008B3945"/>
    <w:rsid w:val="008B4BB8"/>
    <w:rsid w:val="008B5A4E"/>
    <w:rsid w:val="008B6E8F"/>
    <w:rsid w:val="008B6F8F"/>
    <w:rsid w:val="008C100F"/>
    <w:rsid w:val="008C7B69"/>
    <w:rsid w:val="008D0C78"/>
    <w:rsid w:val="008D549D"/>
    <w:rsid w:val="008D7438"/>
    <w:rsid w:val="008D7E69"/>
    <w:rsid w:val="008E0578"/>
    <w:rsid w:val="008E3BBD"/>
    <w:rsid w:val="008F0343"/>
    <w:rsid w:val="008F04AA"/>
    <w:rsid w:val="008F19C2"/>
    <w:rsid w:val="008F21F6"/>
    <w:rsid w:val="008F2C38"/>
    <w:rsid w:val="008F4DEA"/>
    <w:rsid w:val="008F7622"/>
    <w:rsid w:val="00905556"/>
    <w:rsid w:val="00911152"/>
    <w:rsid w:val="0091133C"/>
    <w:rsid w:val="0091407D"/>
    <w:rsid w:val="00914FA8"/>
    <w:rsid w:val="00915F39"/>
    <w:rsid w:val="009174D6"/>
    <w:rsid w:val="0092006D"/>
    <w:rsid w:val="0092650C"/>
    <w:rsid w:val="009265DC"/>
    <w:rsid w:val="009270E1"/>
    <w:rsid w:val="00931331"/>
    <w:rsid w:val="00934ACE"/>
    <w:rsid w:val="00945602"/>
    <w:rsid w:val="00947D2F"/>
    <w:rsid w:val="0095046D"/>
    <w:rsid w:val="00950AC5"/>
    <w:rsid w:val="009518B1"/>
    <w:rsid w:val="00954DE0"/>
    <w:rsid w:val="00954F58"/>
    <w:rsid w:val="00956A4D"/>
    <w:rsid w:val="00956AFC"/>
    <w:rsid w:val="0095785E"/>
    <w:rsid w:val="00962568"/>
    <w:rsid w:val="009629EA"/>
    <w:rsid w:val="0096314C"/>
    <w:rsid w:val="00963B0F"/>
    <w:rsid w:val="00963EA4"/>
    <w:rsid w:val="00965698"/>
    <w:rsid w:val="009710D1"/>
    <w:rsid w:val="00972AA5"/>
    <w:rsid w:val="00973D07"/>
    <w:rsid w:val="009813C2"/>
    <w:rsid w:val="00982C9C"/>
    <w:rsid w:val="0098357C"/>
    <w:rsid w:val="00983AFD"/>
    <w:rsid w:val="009848DE"/>
    <w:rsid w:val="009901BE"/>
    <w:rsid w:val="00990B4F"/>
    <w:rsid w:val="00995AD9"/>
    <w:rsid w:val="00995F64"/>
    <w:rsid w:val="009B0280"/>
    <w:rsid w:val="009B3488"/>
    <w:rsid w:val="009B5CCE"/>
    <w:rsid w:val="009B714E"/>
    <w:rsid w:val="009B7630"/>
    <w:rsid w:val="009C4B7E"/>
    <w:rsid w:val="009C573E"/>
    <w:rsid w:val="009C5982"/>
    <w:rsid w:val="009C6B1C"/>
    <w:rsid w:val="009D1CF1"/>
    <w:rsid w:val="009D6CC3"/>
    <w:rsid w:val="009D7D6A"/>
    <w:rsid w:val="009E153E"/>
    <w:rsid w:val="009E35AC"/>
    <w:rsid w:val="009E5B27"/>
    <w:rsid w:val="009E60D0"/>
    <w:rsid w:val="009E7308"/>
    <w:rsid w:val="009E7397"/>
    <w:rsid w:val="009F093A"/>
    <w:rsid w:val="009F1BA0"/>
    <w:rsid w:val="009F4702"/>
    <w:rsid w:val="009F59D8"/>
    <w:rsid w:val="009F6BBB"/>
    <w:rsid w:val="00A0145C"/>
    <w:rsid w:val="00A04A5C"/>
    <w:rsid w:val="00A074FF"/>
    <w:rsid w:val="00A10216"/>
    <w:rsid w:val="00A107DB"/>
    <w:rsid w:val="00A12673"/>
    <w:rsid w:val="00A15CA3"/>
    <w:rsid w:val="00A174BE"/>
    <w:rsid w:val="00A21BAD"/>
    <w:rsid w:val="00A24BBA"/>
    <w:rsid w:val="00A3053F"/>
    <w:rsid w:val="00A307DE"/>
    <w:rsid w:val="00A33D44"/>
    <w:rsid w:val="00A36341"/>
    <w:rsid w:val="00A36D88"/>
    <w:rsid w:val="00A42C08"/>
    <w:rsid w:val="00A460C0"/>
    <w:rsid w:val="00A502B3"/>
    <w:rsid w:val="00A534DF"/>
    <w:rsid w:val="00A56DEA"/>
    <w:rsid w:val="00A56F19"/>
    <w:rsid w:val="00A6567C"/>
    <w:rsid w:val="00A678CD"/>
    <w:rsid w:val="00A67FF2"/>
    <w:rsid w:val="00A70291"/>
    <w:rsid w:val="00A725DE"/>
    <w:rsid w:val="00A816AB"/>
    <w:rsid w:val="00A8529B"/>
    <w:rsid w:val="00A91D06"/>
    <w:rsid w:val="00A933A5"/>
    <w:rsid w:val="00A93497"/>
    <w:rsid w:val="00A96A6A"/>
    <w:rsid w:val="00A97FDA"/>
    <w:rsid w:val="00AA1C25"/>
    <w:rsid w:val="00AA1F96"/>
    <w:rsid w:val="00AA239B"/>
    <w:rsid w:val="00AA6864"/>
    <w:rsid w:val="00AA7336"/>
    <w:rsid w:val="00AB0620"/>
    <w:rsid w:val="00AB0647"/>
    <w:rsid w:val="00AB1B4C"/>
    <w:rsid w:val="00AB26DA"/>
    <w:rsid w:val="00AB2F04"/>
    <w:rsid w:val="00AC010A"/>
    <w:rsid w:val="00AC2334"/>
    <w:rsid w:val="00AC645B"/>
    <w:rsid w:val="00AC64FB"/>
    <w:rsid w:val="00AC73DF"/>
    <w:rsid w:val="00AD18D7"/>
    <w:rsid w:val="00AD1FA5"/>
    <w:rsid w:val="00AD2AF8"/>
    <w:rsid w:val="00AD4EE4"/>
    <w:rsid w:val="00AE2931"/>
    <w:rsid w:val="00AE4CA1"/>
    <w:rsid w:val="00AE7B97"/>
    <w:rsid w:val="00AF5475"/>
    <w:rsid w:val="00B03205"/>
    <w:rsid w:val="00B03B11"/>
    <w:rsid w:val="00B12AF9"/>
    <w:rsid w:val="00B134F5"/>
    <w:rsid w:val="00B16FCF"/>
    <w:rsid w:val="00B2007E"/>
    <w:rsid w:val="00B2116F"/>
    <w:rsid w:val="00B22CAC"/>
    <w:rsid w:val="00B26972"/>
    <w:rsid w:val="00B30203"/>
    <w:rsid w:val="00B37B0A"/>
    <w:rsid w:val="00B400FE"/>
    <w:rsid w:val="00B406AA"/>
    <w:rsid w:val="00B43D41"/>
    <w:rsid w:val="00B50848"/>
    <w:rsid w:val="00B54317"/>
    <w:rsid w:val="00B6538C"/>
    <w:rsid w:val="00B656A7"/>
    <w:rsid w:val="00B656E2"/>
    <w:rsid w:val="00B8092B"/>
    <w:rsid w:val="00B83669"/>
    <w:rsid w:val="00B843A3"/>
    <w:rsid w:val="00B84E79"/>
    <w:rsid w:val="00B92132"/>
    <w:rsid w:val="00B923F1"/>
    <w:rsid w:val="00B9714B"/>
    <w:rsid w:val="00B97672"/>
    <w:rsid w:val="00BA0C95"/>
    <w:rsid w:val="00BA0EAE"/>
    <w:rsid w:val="00BA0FEF"/>
    <w:rsid w:val="00BA3879"/>
    <w:rsid w:val="00BB1D62"/>
    <w:rsid w:val="00BB4053"/>
    <w:rsid w:val="00BB557E"/>
    <w:rsid w:val="00BC4F32"/>
    <w:rsid w:val="00BC6F3B"/>
    <w:rsid w:val="00BD515C"/>
    <w:rsid w:val="00BE1171"/>
    <w:rsid w:val="00BE2383"/>
    <w:rsid w:val="00BE2661"/>
    <w:rsid w:val="00BE33C7"/>
    <w:rsid w:val="00BF25C2"/>
    <w:rsid w:val="00C00552"/>
    <w:rsid w:val="00C01F57"/>
    <w:rsid w:val="00C02B4C"/>
    <w:rsid w:val="00C031C2"/>
    <w:rsid w:val="00C053C1"/>
    <w:rsid w:val="00C06EF7"/>
    <w:rsid w:val="00C1263D"/>
    <w:rsid w:val="00C129EB"/>
    <w:rsid w:val="00C13286"/>
    <w:rsid w:val="00C13F82"/>
    <w:rsid w:val="00C14B23"/>
    <w:rsid w:val="00C16890"/>
    <w:rsid w:val="00C16BAD"/>
    <w:rsid w:val="00C16D56"/>
    <w:rsid w:val="00C17A72"/>
    <w:rsid w:val="00C2232A"/>
    <w:rsid w:val="00C23461"/>
    <w:rsid w:val="00C24FA0"/>
    <w:rsid w:val="00C26908"/>
    <w:rsid w:val="00C26E85"/>
    <w:rsid w:val="00C326E6"/>
    <w:rsid w:val="00C33945"/>
    <w:rsid w:val="00C33F21"/>
    <w:rsid w:val="00C3652E"/>
    <w:rsid w:val="00C40BF1"/>
    <w:rsid w:val="00C41F0D"/>
    <w:rsid w:val="00C42E4B"/>
    <w:rsid w:val="00C43256"/>
    <w:rsid w:val="00C43258"/>
    <w:rsid w:val="00C43C61"/>
    <w:rsid w:val="00C54B27"/>
    <w:rsid w:val="00C564EB"/>
    <w:rsid w:val="00C565B9"/>
    <w:rsid w:val="00C56CAD"/>
    <w:rsid w:val="00C60FBC"/>
    <w:rsid w:val="00C6146F"/>
    <w:rsid w:val="00C63834"/>
    <w:rsid w:val="00C65907"/>
    <w:rsid w:val="00C66CE3"/>
    <w:rsid w:val="00C67C75"/>
    <w:rsid w:val="00C738B6"/>
    <w:rsid w:val="00C7586B"/>
    <w:rsid w:val="00C75BCF"/>
    <w:rsid w:val="00C819B8"/>
    <w:rsid w:val="00C831B4"/>
    <w:rsid w:val="00C87516"/>
    <w:rsid w:val="00C938C8"/>
    <w:rsid w:val="00C976A3"/>
    <w:rsid w:val="00CA0B84"/>
    <w:rsid w:val="00CA55AA"/>
    <w:rsid w:val="00CA6680"/>
    <w:rsid w:val="00CB1852"/>
    <w:rsid w:val="00CD1C1D"/>
    <w:rsid w:val="00CD1EB1"/>
    <w:rsid w:val="00CD4835"/>
    <w:rsid w:val="00CD4EEE"/>
    <w:rsid w:val="00CD6492"/>
    <w:rsid w:val="00CD6D9D"/>
    <w:rsid w:val="00CD70EA"/>
    <w:rsid w:val="00CE3A5E"/>
    <w:rsid w:val="00CE5E44"/>
    <w:rsid w:val="00CF3817"/>
    <w:rsid w:val="00D00E83"/>
    <w:rsid w:val="00D039DB"/>
    <w:rsid w:val="00D03E98"/>
    <w:rsid w:val="00D0605F"/>
    <w:rsid w:val="00D12FC0"/>
    <w:rsid w:val="00D15467"/>
    <w:rsid w:val="00D15847"/>
    <w:rsid w:val="00D221B8"/>
    <w:rsid w:val="00D25482"/>
    <w:rsid w:val="00D27A12"/>
    <w:rsid w:val="00D3496A"/>
    <w:rsid w:val="00D36957"/>
    <w:rsid w:val="00D42608"/>
    <w:rsid w:val="00D42ACE"/>
    <w:rsid w:val="00D43668"/>
    <w:rsid w:val="00D46D83"/>
    <w:rsid w:val="00D4725E"/>
    <w:rsid w:val="00D560B9"/>
    <w:rsid w:val="00D5724E"/>
    <w:rsid w:val="00D57361"/>
    <w:rsid w:val="00D579A8"/>
    <w:rsid w:val="00D63BBC"/>
    <w:rsid w:val="00D678F7"/>
    <w:rsid w:val="00D74174"/>
    <w:rsid w:val="00D77503"/>
    <w:rsid w:val="00D77C02"/>
    <w:rsid w:val="00D77E93"/>
    <w:rsid w:val="00D82FA2"/>
    <w:rsid w:val="00DA33B8"/>
    <w:rsid w:val="00DA421F"/>
    <w:rsid w:val="00DA4AB7"/>
    <w:rsid w:val="00DB206A"/>
    <w:rsid w:val="00DD3243"/>
    <w:rsid w:val="00DD3655"/>
    <w:rsid w:val="00DE037C"/>
    <w:rsid w:val="00DE2BD4"/>
    <w:rsid w:val="00DE320B"/>
    <w:rsid w:val="00DE3829"/>
    <w:rsid w:val="00DE4AC6"/>
    <w:rsid w:val="00DF545F"/>
    <w:rsid w:val="00DF76A1"/>
    <w:rsid w:val="00E02439"/>
    <w:rsid w:val="00E030FA"/>
    <w:rsid w:val="00E04B41"/>
    <w:rsid w:val="00E079B6"/>
    <w:rsid w:val="00E11945"/>
    <w:rsid w:val="00E20339"/>
    <w:rsid w:val="00E210AE"/>
    <w:rsid w:val="00E2453E"/>
    <w:rsid w:val="00E30773"/>
    <w:rsid w:val="00E33788"/>
    <w:rsid w:val="00E377F6"/>
    <w:rsid w:val="00E4241B"/>
    <w:rsid w:val="00E43927"/>
    <w:rsid w:val="00E43CA8"/>
    <w:rsid w:val="00E4621D"/>
    <w:rsid w:val="00E46946"/>
    <w:rsid w:val="00E46B46"/>
    <w:rsid w:val="00E474AD"/>
    <w:rsid w:val="00E478D7"/>
    <w:rsid w:val="00E479CA"/>
    <w:rsid w:val="00E51BE5"/>
    <w:rsid w:val="00E61990"/>
    <w:rsid w:val="00E6490E"/>
    <w:rsid w:val="00E65AB6"/>
    <w:rsid w:val="00E704BC"/>
    <w:rsid w:val="00E77FAE"/>
    <w:rsid w:val="00E83728"/>
    <w:rsid w:val="00E843D9"/>
    <w:rsid w:val="00E90BAA"/>
    <w:rsid w:val="00E92688"/>
    <w:rsid w:val="00E939E3"/>
    <w:rsid w:val="00EA1F5C"/>
    <w:rsid w:val="00EA25F3"/>
    <w:rsid w:val="00EA2A23"/>
    <w:rsid w:val="00EA456E"/>
    <w:rsid w:val="00EA61FD"/>
    <w:rsid w:val="00EA68C5"/>
    <w:rsid w:val="00EA704E"/>
    <w:rsid w:val="00EA7B97"/>
    <w:rsid w:val="00EB034B"/>
    <w:rsid w:val="00EB4109"/>
    <w:rsid w:val="00EB7D02"/>
    <w:rsid w:val="00EC209B"/>
    <w:rsid w:val="00EC2EF3"/>
    <w:rsid w:val="00EC3866"/>
    <w:rsid w:val="00EC5298"/>
    <w:rsid w:val="00EC75A8"/>
    <w:rsid w:val="00ED1342"/>
    <w:rsid w:val="00ED1D73"/>
    <w:rsid w:val="00EE27F3"/>
    <w:rsid w:val="00EE2EBE"/>
    <w:rsid w:val="00EE3A2C"/>
    <w:rsid w:val="00EE7BF4"/>
    <w:rsid w:val="00EF1861"/>
    <w:rsid w:val="00EF29B5"/>
    <w:rsid w:val="00EF57B2"/>
    <w:rsid w:val="00EF6399"/>
    <w:rsid w:val="00EF69EE"/>
    <w:rsid w:val="00F02A14"/>
    <w:rsid w:val="00F06BE2"/>
    <w:rsid w:val="00F076AE"/>
    <w:rsid w:val="00F101D4"/>
    <w:rsid w:val="00F1360A"/>
    <w:rsid w:val="00F14E6F"/>
    <w:rsid w:val="00F22133"/>
    <w:rsid w:val="00F224CD"/>
    <w:rsid w:val="00F22CEF"/>
    <w:rsid w:val="00F3162E"/>
    <w:rsid w:val="00F31D16"/>
    <w:rsid w:val="00F36E5A"/>
    <w:rsid w:val="00F37EDA"/>
    <w:rsid w:val="00F40906"/>
    <w:rsid w:val="00F40D00"/>
    <w:rsid w:val="00F41C0E"/>
    <w:rsid w:val="00F428CC"/>
    <w:rsid w:val="00F44206"/>
    <w:rsid w:val="00F45076"/>
    <w:rsid w:val="00F51702"/>
    <w:rsid w:val="00F54450"/>
    <w:rsid w:val="00F54F73"/>
    <w:rsid w:val="00F61B39"/>
    <w:rsid w:val="00F624BF"/>
    <w:rsid w:val="00F6694F"/>
    <w:rsid w:val="00F720C6"/>
    <w:rsid w:val="00F721F0"/>
    <w:rsid w:val="00F72515"/>
    <w:rsid w:val="00F7349D"/>
    <w:rsid w:val="00F81987"/>
    <w:rsid w:val="00F82787"/>
    <w:rsid w:val="00F87DDD"/>
    <w:rsid w:val="00F9534F"/>
    <w:rsid w:val="00F968D0"/>
    <w:rsid w:val="00FA1892"/>
    <w:rsid w:val="00FA1CC7"/>
    <w:rsid w:val="00FA1F41"/>
    <w:rsid w:val="00FA3324"/>
    <w:rsid w:val="00FA66D4"/>
    <w:rsid w:val="00FA68A4"/>
    <w:rsid w:val="00FB03B3"/>
    <w:rsid w:val="00FB0605"/>
    <w:rsid w:val="00FB31D4"/>
    <w:rsid w:val="00FB3B95"/>
    <w:rsid w:val="00FB6792"/>
    <w:rsid w:val="00FC601F"/>
    <w:rsid w:val="00FD07A7"/>
    <w:rsid w:val="00FD11AA"/>
    <w:rsid w:val="00FD543E"/>
    <w:rsid w:val="00FD5ED1"/>
    <w:rsid w:val="00FE1210"/>
    <w:rsid w:val="00FE1E1E"/>
    <w:rsid w:val="00FE6F0C"/>
    <w:rsid w:val="00FE753C"/>
    <w:rsid w:val="00FF0E21"/>
    <w:rsid w:val="034623EE"/>
    <w:rsid w:val="03B11A9D"/>
    <w:rsid w:val="04272D60"/>
    <w:rsid w:val="04D17976"/>
    <w:rsid w:val="050B2FD3"/>
    <w:rsid w:val="081F25E1"/>
    <w:rsid w:val="09F43460"/>
    <w:rsid w:val="0B3166EB"/>
    <w:rsid w:val="0BB359C0"/>
    <w:rsid w:val="0CAC0156"/>
    <w:rsid w:val="0DA925F8"/>
    <w:rsid w:val="0ED542E3"/>
    <w:rsid w:val="0FE1351C"/>
    <w:rsid w:val="115D3D0D"/>
    <w:rsid w:val="12F4003E"/>
    <w:rsid w:val="12FE7BB6"/>
    <w:rsid w:val="130D494D"/>
    <w:rsid w:val="136662E0"/>
    <w:rsid w:val="157E49F2"/>
    <w:rsid w:val="1680307B"/>
    <w:rsid w:val="17371525"/>
    <w:rsid w:val="175233D3"/>
    <w:rsid w:val="175F13E4"/>
    <w:rsid w:val="17DE7734"/>
    <w:rsid w:val="188859CE"/>
    <w:rsid w:val="19AD1F2E"/>
    <w:rsid w:val="1B057F61"/>
    <w:rsid w:val="1B4A0A55"/>
    <w:rsid w:val="1C1439A1"/>
    <w:rsid w:val="1CAB3B14"/>
    <w:rsid w:val="1D2D666C"/>
    <w:rsid w:val="1D315072"/>
    <w:rsid w:val="1D4A019B"/>
    <w:rsid w:val="1DC0145E"/>
    <w:rsid w:val="1E061BD3"/>
    <w:rsid w:val="1F1F489E"/>
    <w:rsid w:val="1F597EFB"/>
    <w:rsid w:val="1FB81599"/>
    <w:rsid w:val="1FF33F88"/>
    <w:rsid w:val="22C32496"/>
    <w:rsid w:val="23127C96"/>
    <w:rsid w:val="23B00E19"/>
    <w:rsid w:val="24A13C25"/>
    <w:rsid w:val="24E06F8D"/>
    <w:rsid w:val="25092F72"/>
    <w:rsid w:val="25457FB6"/>
    <w:rsid w:val="257F7D90"/>
    <w:rsid w:val="25F435D2"/>
    <w:rsid w:val="28541E37"/>
    <w:rsid w:val="2A0A1509"/>
    <w:rsid w:val="2AFB0A91"/>
    <w:rsid w:val="2B107731"/>
    <w:rsid w:val="2D0D1776"/>
    <w:rsid w:val="2D6C7591"/>
    <w:rsid w:val="2F386C07"/>
    <w:rsid w:val="2F700F60"/>
    <w:rsid w:val="30357A24"/>
    <w:rsid w:val="32545820"/>
    <w:rsid w:val="328A5CFA"/>
    <w:rsid w:val="32911E02"/>
    <w:rsid w:val="32D57073"/>
    <w:rsid w:val="34260E6F"/>
    <w:rsid w:val="344175CA"/>
    <w:rsid w:val="34DC77C8"/>
    <w:rsid w:val="34EC41DF"/>
    <w:rsid w:val="361C2353"/>
    <w:rsid w:val="36422592"/>
    <w:rsid w:val="375B525D"/>
    <w:rsid w:val="39C20ECF"/>
    <w:rsid w:val="3A1379D5"/>
    <w:rsid w:val="3A9721AC"/>
    <w:rsid w:val="3B9B1DDA"/>
    <w:rsid w:val="3EC45B0A"/>
    <w:rsid w:val="3F4924E0"/>
    <w:rsid w:val="3FED2FEE"/>
    <w:rsid w:val="4204145F"/>
    <w:rsid w:val="43656A9D"/>
    <w:rsid w:val="44F617B2"/>
    <w:rsid w:val="45BA6F71"/>
    <w:rsid w:val="46B3080E"/>
    <w:rsid w:val="46FD4105"/>
    <w:rsid w:val="477B49D4"/>
    <w:rsid w:val="479B7487"/>
    <w:rsid w:val="47B303B1"/>
    <w:rsid w:val="480A0C90"/>
    <w:rsid w:val="48264E6C"/>
    <w:rsid w:val="4B760A5C"/>
    <w:rsid w:val="4C2A5F81"/>
    <w:rsid w:val="4CD25495"/>
    <w:rsid w:val="4D472ED5"/>
    <w:rsid w:val="4DE07BD1"/>
    <w:rsid w:val="4F0B18BC"/>
    <w:rsid w:val="4F2711ED"/>
    <w:rsid w:val="50C75416"/>
    <w:rsid w:val="51183F1B"/>
    <w:rsid w:val="525B32AE"/>
    <w:rsid w:val="53B15DDD"/>
    <w:rsid w:val="53BB08EB"/>
    <w:rsid w:val="53E1023D"/>
    <w:rsid w:val="5731251C"/>
    <w:rsid w:val="5776778D"/>
    <w:rsid w:val="59001493"/>
    <w:rsid w:val="5A635857"/>
    <w:rsid w:val="5B220213"/>
    <w:rsid w:val="5B615779"/>
    <w:rsid w:val="5BAA6E73"/>
    <w:rsid w:val="5C733038"/>
    <w:rsid w:val="5E3F0130"/>
    <w:rsid w:val="5EA323D3"/>
    <w:rsid w:val="5F796BB3"/>
    <w:rsid w:val="60482704"/>
    <w:rsid w:val="60991209"/>
    <w:rsid w:val="61F1723C"/>
    <w:rsid w:val="639840F5"/>
    <w:rsid w:val="63ED5D7D"/>
    <w:rsid w:val="65115EE0"/>
    <w:rsid w:val="67061813"/>
    <w:rsid w:val="68153BCE"/>
    <w:rsid w:val="68336A02"/>
    <w:rsid w:val="68B946DC"/>
    <w:rsid w:val="69A86563"/>
    <w:rsid w:val="6A7711BA"/>
    <w:rsid w:val="6AEE467C"/>
    <w:rsid w:val="6B9D0F9D"/>
    <w:rsid w:val="6D446D4F"/>
    <w:rsid w:val="6D462252"/>
    <w:rsid w:val="6E4D2EEF"/>
    <w:rsid w:val="6E912274"/>
    <w:rsid w:val="6F424616"/>
    <w:rsid w:val="70394BAE"/>
    <w:rsid w:val="70920AC0"/>
    <w:rsid w:val="73023D3C"/>
    <w:rsid w:val="737D1555"/>
    <w:rsid w:val="74460B51"/>
    <w:rsid w:val="746D2F8F"/>
    <w:rsid w:val="749F4175"/>
    <w:rsid w:val="749F4A62"/>
    <w:rsid w:val="75400D68"/>
    <w:rsid w:val="75D13EDB"/>
    <w:rsid w:val="775C5BE0"/>
    <w:rsid w:val="77CC7198"/>
    <w:rsid w:val="77FA47E4"/>
    <w:rsid w:val="781E371F"/>
    <w:rsid w:val="79D31AEC"/>
    <w:rsid w:val="79FE2930"/>
    <w:rsid w:val="7B1F628B"/>
    <w:rsid w:val="7B4F485C"/>
    <w:rsid w:val="7CA7288F"/>
    <w:rsid w:val="7CEF1D89"/>
    <w:rsid w:val="7E851E20"/>
    <w:rsid w:val="7F066EF6"/>
    <w:rsid w:val="7F342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PMingLiU"/>
      <w:kern w:val="0"/>
      <w:sz w:val="20"/>
      <w:szCs w:val="24"/>
    </w:rPr>
  </w:style>
  <w:style w:type="paragraph" w:styleId="3">
    <w:name w:val="Salutation"/>
    <w:basedOn w:val="1"/>
    <w:next w:val="1"/>
    <w:link w:val="17"/>
    <w:qFormat/>
    <w:uiPriority w:val="0"/>
    <w:pPr>
      <w:adjustRightInd w:val="0"/>
      <w:spacing w:line="360" w:lineRule="atLeast"/>
      <w:jc w:val="left"/>
      <w:textAlignment w:val="baseline"/>
    </w:pPr>
    <w:rPr>
      <w:rFonts w:ascii="PMingLiU" w:hAnsi="Times New Roman" w:eastAsia="PMingLiU"/>
      <w:kern w:val="0"/>
      <w:sz w:val="28"/>
      <w:szCs w:val="20"/>
    </w:rPr>
  </w:style>
  <w:style w:type="paragraph" w:styleId="4">
    <w:name w:val="Plai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szCs w:val="20"/>
      <w:lang w:eastAsia="zh-TW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7"/>
    <w:uiPriority w:val="99"/>
    <w:rPr>
      <w:sz w:val="18"/>
      <w:szCs w:val="18"/>
    </w:rPr>
  </w:style>
  <w:style w:type="character" w:customStyle="1" w:styleId="12">
    <w:name w:val="纯文本 Char"/>
    <w:link w:val="4"/>
    <w:locked/>
    <w:uiPriority w:val="0"/>
    <w:rPr>
      <w:rFonts w:ascii="MingLiU" w:hAnsi="Courier New" w:eastAsia="MingLiU"/>
      <w:sz w:val="24"/>
      <w:lang w:val="en-US" w:eastAsia="zh-TW" w:bidi="ar-SA"/>
    </w:rPr>
  </w:style>
  <w:style w:type="character" w:customStyle="1" w:styleId="13">
    <w:name w:val="Plain Text Char"/>
    <w:locked/>
    <w:uiPriority w:val="0"/>
    <w:rPr>
      <w:rFonts w:ascii="MingLiU" w:hAnsi="Courier New" w:eastAsia="MingLiU" w:cs="Times New Roman"/>
      <w:kern w:val="0"/>
      <w:sz w:val="20"/>
      <w:szCs w:val="20"/>
    </w:rPr>
  </w:style>
  <w:style w:type="character" w:customStyle="1" w:styleId="14">
    <w:name w:val="页脚 Char"/>
    <w:link w:val="6"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8"/>
    <w:link w:val="2"/>
    <w:qFormat/>
    <w:uiPriority w:val="0"/>
    <w:rPr>
      <w:rFonts w:ascii="Times New Roman" w:hAnsi="Times New Roman" w:eastAsia="PMingLiU"/>
      <w:szCs w:val="24"/>
    </w:rPr>
  </w:style>
  <w:style w:type="character" w:customStyle="1" w:styleId="17">
    <w:name w:val="称呼 Char"/>
    <w:basedOn w:val="8"/>
    <w:link w:val="3"/>
    <w:qFormat/>
    <w:uiPriority w:val="0"/>
    <w:rPr>
      <w:rFonts w:ascii="PMingLiU" w:hAnsi="Times New Roman" w:eastAsia="PMingLiU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2501</Words>
  <Characters>1753</Characters>
  <Lines>14</Lines>
  <Paragraphs>8</Paragraphs>
  <TotalTime>0</TotalTime>
  <ScaleCrop>false</ScaleCrop>
  <LinksUpToDate>false</LinksUpToDate>
  <CharactersWithSpaces>4246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2016-01-05T07:09:00Z</dcterms:created>
  <dc:creator>微软用户</dc:creator>
  <cp:lastModifiedBy>Administrator</cp:lastModifiedBy>
  <dcterms:modified xsi:type="dcterms:W3CDTF">2016-03-11T00:41:18Z</dcterms:modified>
  <dc:title>黑龙江职业学院          分院专业课程大纲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